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B08C9" w14:textId="5C39CA6D" w:rsidR="008571CD" w:rsidRPr="00093B1A" w:rsidRDefault="008571CD" w:rsidP="008571CD">
      <w:pPr>
        <w:pBdr>
          <w:top w:val="single" w:sz="4" w:space="4" w:color="auto"/>
          <w:bottom w:val="single" w:sz="4" w:space="7" w:color="auto"/>
        </w:pBdr>
        <w:spacing w:line="400" w:lineRule="exact"/>
        <w:jc w:val="center"/>
        <w:outlineLvl w:val="0"/>
        <w:rPr>
          <w:rFonts w:asciiTheme="majorHAnsi" w:eastAsia="Calibri" w:hAnsiTheme="majorHAnsi" w:cstheme="majorHAnsi"/>
          <w:b/>
          <w:kern w:val="0"/>
          <w:sz w:val="36"/>
          <w:szCs w:val="22"/>
          <w14:ligatures w14:val="none"/>
        </w:rPr>
      </w:pPr>
      <w:r w:rsidRPr="00093B1A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Praha </w:t>
      </w:r>
      <w:r w:rsidR="008125F1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nechá vytvořit koncepci pro lepší dostupnost veřejných toalet ve městě</w:t>
      </w:r>
    </w:p>
    <w:p w14:paraId="1A4CE150" w14:textId="77777777" w:rsidR="008571CD" w:rsidRDefault="008571CD" w:rsidP="008571CD">
      <w:pPr>
        <w:pStyle w:val="1rove"/>
      </w:pPr>
    </w:p>
    <w:p w14:paraId="10568741" w14:textId="542063DC" w:rsidR="008125F1" w:rsidRPr="008125F1" w:rsidRDefault="008125F1" w:rsidP="008125F1">
      <w:pPr>
        <w:rPr>
          <w:b/>
          <w:bCs/>
        </w:rPr>
      </w:pPr>
      <w:r w:rsidRPr="008125F1">
        <w:rPr>
          <w:b/>
          <w:bCs/>
        </w:rPr>
        <w:t>Rada hl</w:t>
      </w:r>
      <w:r>
        <w:rPr>
          <w:b/>
          <w:bCs/>
        </w:rPr>
        <w:t>.</w:t>
      </w:r>
      <w:r w:rsidRPr="008125F1">
        <w:rPr>
          <w:b/>
          <w:bCs/>
        </w:rPr>
        <w:t xml:space="preserve"> m</w:t>
      </w:r>
      <w:r>
        <w:rPr>
          <w:b/>
          <w:bCs/>
        </w:rPr>
        <w:t>. Prahy na svém pondělním jednání</w:t>
      </w:r>
      <w:r w:rsidRPr="008125F1">
        <w:rPr>
          <w:b/>
          <w:bCs/>
        </w:rPr>
        <w:t xml:space="preserve"> schválila návrh na zpracování Koncepce přístupnosti veřejných toalet. Na základě analytické části, která shromáždila zkušenosti i z jiných měst, tak Institut plánování a rozvoje </w:t>
      </w:r>
      <w:r>
        <w:rPr>
          <w:b/>
          <w:bCs/>
        </w:rPr>
        <w:t xml:space="preserve">hl. m. Prahy </w:t>
      </w:r>
      <w:r w:rsidRPr="008125F1">
        <w:rPr>
          <w:b/>
          <w:bCs/>
        </w:rPr>
        <w:t xml:space="preserve">(IPR) zpracuje koncepci, která bude mít za cíl zajistit dostupné toalety v odpovídajícím standardu na celém území hlavního města. </w:t>
      </w:r>
    </w:p>
    <w:p w14:paraId="15FF5707" w14:textId="77777777" w:rsidR="008125F1" w:rsidRDefault="008125F1" w:rsidP="008125F1"/>
    <w:p w14:paraId="372AD4ED" w14:textId="0BEAE035" w:rsidR="008125F1" w:rsidRDefault="008125F1" w:rsidP="008125F1">
      <w:r>
        <w:t xml:space="preserve">Aby systém fungoval, jak má, je důležité, aby měl člověk nejbližší veřejné toalety v dosahu do 300 metrů. Takovou dostupnost má však v současnosti jen malá část hlavního města. </w:t>
      </w:r>
      <w:r w:rsidRPr="008125F1">
        <w:rPr>
          <w:i/>
          <w:iCs/>
        </w:rPr>
        <w:t xml:space="preserve">„Je důležité, že analýza prověřuje různé modely provozování od budování toalet přes zpřístupňování těch existujících ve veřejných budovách, ale třeba i kavárnách a obchodních centrech,“ </w:t>
      </w:r>
      <w:r>
        <w:t>uvádí Petr Hlaváček, náměstek primátora</w:t>
      </w:r>
      <w:r w:rsidR="007369B9">
        <w:t xml:space="preserve"> hl. m. Prahy</w:t>
      </w:r>
      <w:r>
        <w:t xml:space="preserve"> pro územní rozvoj. </w:t>
      </w:r>
    </w:p>
    <w:p w14:paraId="2B0B74F6" w14:textId="77777777" w:rsidR="008125F1" w:rsidRDefault="008125F1" w:rsidP="008125F1"/>
    <w:p w14:paraId="33A4C0DA" w14:textId="4CA816CA" w:rsidR="008125F1" w:rsidRDefault="008125F1" w:rsidP="008125F1">
      <w:r>
        <w:t>Toalety v obchodních centrech jsou aktuálně mezi Pražany nejpopulárnější. Oceňují u nich zejména čistotu. Problémem podle autorů dnes schváleného dokumentu ale je, že toalety jsou často placené. To může představovat překážku jak pro sociálně slabší, tak i pro stále se zvětšující skupinu lidí, kteří u sebe nemají hotovost. Další možnost</w:t>
      </w:r>
      <w:r w:rsidR="007369B9">
        <w:t>í</w:t>
      </w:r>
      <w:r>
        <w:t xml:space="preserve"> by bylo využití toalet v kavárnách a restauracích za předem domluvených podmínek.</w:t>
      </w:r>
    </w:p>
    <w:p w14:paraId="013756ED" w14:textId="6EFB2419" w:rsidR="008125F1" w:rsidRDefault="008125F1" w:rsidP="008125F1">
      <w:r>
        <w:t xml:space="preserve"> </w:t>
      </w:r>
    </w:p>
    <w:p w14:paraId="430E78DF" w14:textId="3D6D7D07" w:rsidR="008125F1" w:rsidRDefault="008125F1" w:rsidP="008125F1">
      <w:r w:rsidRPr="008125F1">
        <w:rPr>
          <w:i/>
          <w:iCs/>
        </w:rPr>
        <w:t>„Budovat nové toalety ze strany města by bylo dlouhé a nákladné, protože poté by se o ně pravděpodobně muselo starat město samo. Proto vítám model, kdy město naváže spolupráci s restauracemi ve městě, aby poskytovaly toalety zdarma na základě domluvy a bude o tom dostatečně informovat občany. Toalety ovšem musí být rovnocenně přístupné všem obyvatelům včetně osob s handicapem,“</w:t>
      </w:r>
      <w:r>
        <w:t xml:space="preserve"> </w:t>
      </w:r>
      <w:r w:rsidR="007369B9">
        <w:t>sděluje</w:t>
      </w:r>
      <w:r>
        <w:t xml:space="preserve"> radní hl. m. Prahy pro majetek, transparentnost a legislativu Adam Zábranský.</w:t>
      </w:r>
    </w:p>
    <w:p w14:paraId="0178BBAF" w14:textId="77777777" w:rsidR="00425AAA" w:rsidRDefault="00425AAA" w:rsidP="008125F1"/>
    <w:p w14:paraId="10AA7456" w14:textId="58706FD6" w:rsidR="00425AAA" w:rsidRPr="00425AAA" w:rsidRDefault="00425AAA" w:rsidP="008125F1">
      <w:r w:rsidRPr="00425AAA">
        <w:rPr>
          <w:i/>
          <w:iCs/>
        </w:rPr>
        <w:t>„Dostupnost veřejných toalet patří mezi drobnosti, které ale zásadně ovlivňují kvalitu života ve městě. Praha má být městem, kde se lidé mohou cítit komfortně a důstojně — a to doslova na každém kroku</w:t>
      </w:r>
      <w:r>
        <w:rPr>
          <w:i/>
          <w:iCs/>
        </w:rPr>
        <w:t>,</w:t>
      </w:r>
      <w:r w:rsidRPr="00425AAA">
        <w:rPr>
          <w:i/>
          <w:iCs/>
        </w:rPr>
        <w:t>“</w:t>
      </w:r>
      <w:r>
        <w:t xml:space="preserve"> prohlašuje primátor hl. m. Prahy Bohuslav Svoboda. </w:t>
      </w:r>
    </w:p>
    <w:p w14:paraId="44A865EC" w14:textId="77777777" w:rsidR="007369B9" w:rsidRDefault="007369B9" w:rsidP="008125F1"/>
    <w:p w14:paraId="3599F93B" w14:textId="5EFD4640" w:rsidR="008125F1" w:rsidRDefault="007369B9" w:rsidP="008125F1">
      <w:r w:rsidRPr="008125F1">
        <w:rPr>
          <w:i/>
          <w:iCs/>
        </w:rPr>
        <w:t xml:space="preserve">„První část dokumentu, kterou </w:t>
      </w:r>
      <w:r w:rsidR="005D79D7">
        <w:rPr>
          <w:i/>
          <w:iCs/>
        </w:rPr>
        <w:t xml:space="preserve">v pondělí </w:t>
      </w:r>
      <w:r w:rsidRPr="008125F1">
        <w:rPr>
          <w:i/>
          <w:iCs/>
        </w:rPr>
        <w:t>vedení města schválilo, je výzkumná. Zjišťovali jsme, co je pro Pražany u veřejných toalet důležité, a jak k této problematice přistupují ostatní města,“</w:t>
      </w:r>
      <w:r>
        <w:t xml:space="preserve"> říká Ondřej Boháč, ředitel IPR Praha</w:t>
      </w:r>
      <w:r w:rsidR="00B55D4D">
        <w:t>,</w:t>
      </w:r>
      <w:r w:rsidR="005D79D7">
        <w:t xml:space="preserve"> a dodává:</w:t>
      </w:r>
      <w:r>
        <w:t xml:space="preserve"> </w:t>
      </w:r>
      <w:r w:rsidRPr="005D79D7">
        <w:rPr>
          <w:i/>
          <w:iCs/>
        </w:rPr>
        <w:t>„Jako nejdůležitější aspekty se ukázaly být dobrá dostupnost a zejména čistota toalet</w:t>
      </w:r>
      <w:r w:rsidR="005D79D7">
        <w:rPr>
          <w:i/>
          <w:iCs/>
        </w:rPr>
        <w:t>.</w:t>
      </w:r>
      <w:r w:rsidRPr="005D79D7">
        <w:rPr>
          <w:i/>
          <w:iCs/>
        </w:rPr>
        <w:t>“</w:t>
      </w:r>
      <w:r>
        <w:t xml:space="preserve"> </w:t>
      </w:r>
    </w:p>
    <w:p w14:paraId="6CD8A955" w14:textId="1D3FD463" w:rsidR="008125F1" w:rsidRDefault="008125F1" w:rsidP="008125F1">
      <w:r>
        <w:lastRenderedPageBreak/>
        <w:t>Kancelář veřejného prostoru IPR teď začne pracovat na druhé části dokumentu. Ta přinese konkrétní návrh, kolik veřejných toalet by v Praze mělo být, kde přesně mají stát a jak by měly vypadat.</w:t>
      </w:r>
    </w:p>
    <w:p w14:paraId="2B22A3A1" w14:textId="77777777" w:rsidR="00895097" w:rsidRDefault="00895097" w:rsidP="00895097"/>
    <w:p w14:paraId="6AEC2D0E" w14:textId="6F856237" w:rsidR="00895097" w:rsidRDefault="008125F1" w:rsidP="00895097">
      <w:r>
        <w:t xml:space="preserve">První část dokumentu je k dispozici na: </w:t>
      </w:r>
      <w:hyperlink r:id="rId8" w:history="1">
        <w:r w:rsidRPr="008125F1">
          <w:rPr>
            <w:rStyle w:val="Hypertextovodkaz"/>
          </w:rPr>
          <w:t>Koncepce přístupnosti veřejných toalet</w:t>
        </w:r>
        <w:r>
          <w:rPr>
            <w:rStyle w:val="Hypertextovodkaz"/>
          </w:rPr>
          <w:t>.</w:t>
        </w:r>
      </w:hyperlink>
    </w:p>
    <w:p w14:paraId="4AC6F9E2" w14:textId="77777777" w:rsidR="008125F1" w:rsidRDefault="008125F1" w:rsidP="00895097"/>
    <w:p w14:paraId="1AA1479C" w14:textId="4AFA977D" w:rsidR="00DB787C" w:rsidRDefault="00895097" w:rsidP="00895097">
      <w:r>
        <w:t xml:space="preserve">Praha </w:t>
      </w:r>
      <w:r w:rsidR="00C56717">
        <w:t>4</w:t>
      </w:r>
      <w:r>
        <w:t>. 1</w:t>
      </w:r>
      <w:r w:rsidR="008125F1">
        <w:t>1</w:t>
      </w:r>
      <w:r>
        <w:t>. 2025</w:t>
      </w:r>
    </w:p>
    <w:p w14:paraId="5C2AFE1C" w14:textId="289C30D2" w:rsidR="005C2055" w:rsidRDefault="005C2055" w:rsidP="00895097"/>
    <w:p w14:paraId="0B09C3C8" w14:textId="77777777" w:rsidR="005C2055" w:rsidRDefault="005C2055" w:rsidP="00895097"/>
    <w:p w14:paraId="52AE900D" w14:textId="77777777" w:rsidR="005C2055" w:rsidRDefault="005C2055" w:rsidP="005C2055">
      <w:bookmarkStart w:id="0" w:name="_GoBack"/>
      <w:bookmarkEnd w:id="0"/>
    </w:p>
    <w:sectPr w:rsidR="005C2055" w:rsidSect="009721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720" w:bottom="185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800CA" w14:textId="77777777" w:rsidR="00324778" w:rsidRDefault="00324778" w:rsidP="00902F81">
      <w:pPr>
        <w:spacing w:line="240" w:lineRule="auto"/>
      </w:pPr>
      <w:r>
        <w:separator/>
      </w:r>
    </w:p>
    <w:p w14:paraId="2FD31F13" w14:textId="77777777" w:rsidR="00324778" w:rsidRDefault="00324778"/>
  </w:endnote>
  <w:endnote w:type="continuationSeparator" w:id="0">
    <w:p w14:paraId="4C9F51D9" w14:textId="77777777" w:rsidR="00324778" w:rsidRDefault="00324778" w:rsidP="00902F81">
      <w:pPr>
        <w:spacing w:line="240" w:lineRule="auto"/>
      </w:pPr>
      <w:r>
        <w:continuationSeparator/>
      </w:r>
    </w:p>
    <w:p w14:paraId="1713BF50" w14:textId="77777777" w:rsidR="00324778" w:rsidRDefault="00324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D5C2AB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199EFC4" w14:textId="77777777" w:rsidR="00972A6E" w:rsidRDefault="00972A6E" w:rsidP="00972A6E">
    <w:pPr>
      <w:pStyle w:val="Zpat"/>
      <w:ind w:right="360"/>
    </w:pPr>
  </w:p>
  <w:p w14:paraId="598FFD48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7D7A40C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06BD57E0" w14:textId="77777777" w:rsidR="00972A6E" w:rsidRPr="00DB787C" w:rsidRDefault="001132DA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28E0D4FD" w14:textId="77777777" w:rsidR="00C26B01" w:rsidRDefault="00C26B01" w:rsidP="00972A6E">
    <w:pPr>
      <w:pStyle w:val="Zpat"/>
      <w:ind w:right="360"/>
    </w:pPr>
  </w:p>
  <w:p w14:paraId="5457B29E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82F6464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3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2D2B2E24" w14:textId="77777777" w:rsidR="0064106E" w:rsidRPr="00DB787C" w:rsidRDefault="001132DA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65B5266D" w14:textId="77777777" w:rsidR="008125F1" w:rsidRDefault="008125F1" w:rsidP="008125F1">
    <w:pPr>
      <w:pStyle w:val="Zpat"/>
      <w:spacing w:line="276" w:lineRule="auto"/>
      <w:rPr>
        <w:b/>
        <w:w w:val="104"/>
        <w:sz w:val="18"/>
      </w:rPr>
    </w:pPr>
  </w:p>
  <w:p w14:paraId="166533D3" w14:textId="3E4B3175" w:rsidR="008125F1" w:rsidRDefault="008125F1" w:rsidP="008125F1">
    <w:pPr>
      <w:pStyle w:val="Zpat"/>
      <w:spacing w:line="276" w:lineRule="auto"/>
      <w:rPr>
        <w:b/>
        <w:w w:val="104"/>
        <w:sz w:val="18"/>
      </w:rPr>
    </w:pPr>
    <w:r w:rsidRPr="00DB0346">
      <w:rPr>
        <w:b/>
        <w:w w:val="104"/>
        <w:sz w:val="18"/>
      </w:rPr>
      <w:t>doc. Ing. arch. Petr Hlaváček</w:t>
    </w:r>
    <w:r>
      <w:rPr>
        <w:b/>
        <w:w w:val="104"/>
        <w:sz w:val="18"/>
      </w:rPr>
      <w:t>,</w:t>
    </w:r>
    <w:r w:rsidRPr="00DB0346">
      <w:rPr>
        <w:b/>
        <w:w w:val="104"/>
        <w:sz w:val="18"/>
      </w:rPr>
      <w:t xml:space="preserve"> n</w:t>
    </w:r>
    <w:r>
      <w:rPr>
        <w:b/>
        <w:w w:val="104"/>
        <w:sz w:val="18"/>
      </w:rPr>
      <w:t>áměstek primátora hl. m. Prahy (STAN)</w:t>
    </w:r>
  </w:p>
  <w:p w14:paraId="4381DA2D" w14:textId="77777777" w:rsidR="008125F1" w:rsidRDefault="008125F1" w:rsidP="008125F1">
    <w:pPr>
      <w:pStyle w:val="Zpat"/>
      <w:spacing w:line="276" w:lineRule="auto"/>
      <w:rPr>
        <w:w w:val="104"/>
        <w:sz w:val="18"/>
      </w:rPr>
    </w:pPr>
    <w:r w:rsidRPr="00DB0346">
      <w:rPr>
        <w:w w:val="104"/>
        <w:sz w:val="18"/>
      </w:rPr>
      <w:t>Působnost v oblasti územního</w:t>
    </w:r>
    <w:r>
      <w:rPr>
        <w:w w:val="104"/>
        <w:sz w:val="18"/>
      </w:rPr>
      <w:t xml:space="preserve"> a strategického</w:t>
    </w:r>
    <w:r w:rsidRPr="00DB0346">
      <w:rPr>
        <w:w w:val="104"/>
        <w:sz w:val="18"/>
      </w:rPr>
      <w:t xml:space="preserve"> rozvoje.</w:t>
    </w:r>
  </w:p>
  <w:p w14:paraId="78E40555" w14:textId="77777777" w:rsidR="008125F1" w:rsidRDefault="008125F1" w:rsidP="008125F1">
    <w:pPr>
      <w:pStyle w:val="Zpat"/>
      <w:spacing w:line="276" w:lineRule="auto"/>
      <w:rPr>
        <w:b/>
        <w:w w:val="104"/>
        <w:sz w:val="18"/>
      </w:rPr>
    </w:pPr>
  </w:p>
  <w:p w14:paraId="4FB1238A" w14:textId="7CB2F814" w:rsidR="008125F1" w:rsidRPr="00A07D21" w:rsidRDefault="008125F1" w:rsidP="008125F1">
    <w:pPr>
      <w:pStyle w:val="Zpat"/>
      <w:spacing w:line="276" w:lineRule="auto"/>
      <w:rPr>
        <w:b/>
        <w:w w:val="104"/>
        <w:sz w:val="18"/>
      </w:rPr>
    </w:pPr>
    <w:r>
      <w:rPr>
        <w:b/>
        <w:w w:val="104"/>
        <w:sz w:val="18"/>
      </w:rPr>
      <w:t xml:space="preserve">Mgr. </w:t>
    </w:r>
    <w:r w:rsidRPr="00A07D21">
      <w:rPr>
        <w:b/>
        <w:w w:val="104"/>
        <w:sz w:val="18"/>
      </w:rPr>
      <w:t>Adam Zábranský</w:t>
    </w:r>
    <w:r>
      <w:rPr>
        <w:b/>
        <w:w w:val="104"/>
        <w:sz w:val="18"/>
      </w:rPr>
      <w:t>,</w:t>
    </w:r>
    <w:r w:rsidRPr="00A07D21">
      <w:rPr>
        <w:b/>
        <w:w w:val="104"/>
        <w:sz w:val="18"/>
      </w:rPr>
      <w:t xml:space="preserve"> radní hl. m. Prahy (</w:t>
    </w:r>
    <w:proofErr w:type="gramStart"/>
    <w:r w:rsidRPr="00A07D21">
      <w:rPr>
        <w:b/>
        <w:w w:val="104"/>
        <w:sz w:val="18"/>
      </w:rPr>
      <w:t>Piráti</w:t>
    </w:r>
    <w:proofErr w:type="gramEnd"/>
    <w:r w:rsidRPr="00A07D21">
      <w:rPr>
        <w:b/>
        <w:w w:val="104"/>
        <w:sz w:val="18"/>
      </w:rPr>
      <w:t>)</w:t>
    </w:r>
  </w:p>
  <w:p w14:paraId="59AD359B" w14:textId="77777777" w:rsidR="008125F1" w:rsidRPr="00A07D21" w:rsidRDefault="008125F1" w:rsidP="008125F1">
    <w:pPr>
      <w:pStyle w:val="Zpat"/>
      <w:spacing w:line="276" w:lineRule="auto"/>
      <w:rPr>
        <w:w w:val="104"/>
        <w:sz w:val="18"/>
      </w:rPr>
    </w:pPr>
    <w:r w:rsidRPr="00A07D21">
      <w:rPr>
        <w:w w:val="104"/>
        <w:sz w:val="18"/>
      </w:rPr>
      <w:t xml:space="preserve">Působnost v oblasti </w:t>
    </w:r>
    <w:r>
      <w:rPr>
        <w:w w:val="104"/>
        <w:sz w:val="18"/>
      </w:rPr>
      <w:t xml:space="preserve">majetku, transparentnosti a legislativy. </w:t>
    </w:r>
  </w:p>
  <w:p w14:paraId="25582B7E" w14:textId="55B8C285" w:rsidR="005C2055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</w:p>
  <w:p w14:paraId="6C5B1361" w14:textId="0B44C85C" w:rsidR="005C2055" w:rsidRPr="00B852CC" w:rsidRDefault="005C2055" w:rsidP="005C2055">
    <w:pPr>
      <w:pStyle w:val="Zpat"/>
      <w:spacing w:line="276" w:lineRule="auto"/>
      <w:rPr>
        <w:rFonts w:cstheme="minorHAnsi"/>
        <w:b/>
        <w:w w:val="104"/>
        <w:szCs w:val="16"/>
      </w:rPr>
    </w:pPr>
    <w:proofErr w:type="spellStart"/>
    <w:r w:rsidRPr="00B852CC">
      <w:rPr>
        <w:rFonts w:cstheme="minorHAnsi"/>
        <w:b/>
        <w:w w:val="104"/>
        <w:szCs w:val="16"/>
      </w:rPr>
      <w:t>Mediacentrum</w:t>
    </w:r>
    <w:proofErr w:type="spellEnd"/>
    <w:r w:rsidRPr="00B852CC">
      <w:rPr>
        <w:rFonts w:cstheme="minorHAnsi"/>
        <w:b/>
        <w:w w:val="104"/>
        <w:szCs w:val="16"/>
      </w:rPr>
      <w:t xml:space="preserve"> MHMP</w:t>
    </w:r>
  </w:p>
  <w:p w14:paraId="7D035A8F" w14:textId="77777777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E-mail: mediacentrum@praha.eu</w:t>
    </w:r>
  </w:p>
  <w:p w14:paraId="3F5A5E0D" w14:textId="04B61691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Tiskovou zprávu naleznete na: https://praha.eu/tiskovy-servis</w:t>
    </w:r>
  </w:p>
  <w:p w14:paraId="6C95DE70" w14:textId="04ACC865" w:rsidR="0064106E" w:rsidRDefault="00641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61E9" w14:textId="77777777" w:rsidR="00324778" w:rsidRDefault="00324778" w:rsidP="00902F81">
      <w:pPr>
        <w:spacing w:line="240" w:lineRule="auto"/>
      </w:pPr>
      <w:r>
        <w:separator/>
      </w:r>
    </w:p>
    <w:p w14:paraId="6FEA194F" w14:textId="77777777" w:rsidR="00324778" w:rsidRDefault="00324778"/>
  </w:footnote>
  <w:footnote w:type="continuationSeparator" w:id="0">
    <w:p w14:paraId="7AA6AC68" w14:textId="77777777" w:rsidR="00324778" w:rsidRDefault="00324778" w:rsidP="00902F81">
      <w:pPr>
        <w:spacing w:line="240" w:lineRule="auto"/>
      </w:pPr>
      <w:r>
        <w:continuationSeparator/>
      </w:r>
    </w:p>
    <w:p w14:paraId="67310D43" w14:textId="77777777" w:rsidR="00324778" w:rsidRDefault="00324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7215A" w14:textId="77777777" w:rsidR="00902F81" w:rsidRDefault="00902F81"/>
  <w:p w14:paraId="394745AC" w14:textId="77777777" w:rsidR="00561E37" w:rsidRDefault="00B512BD" w:rsidP="00B512BD">
    <w:pPr>
      <w:tabs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B49F" w14:textId="7F7910E5" w:rsidR="008571CD" w:rsidRPr="008571CD" w:rsidRDefault="001B46D0" w:rsidP="008571CD">
    <w:pPr>
      <w:pStyle w:val="ZhlavHM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BB5F1B" wp14:editId="2DCEDBC2">
              <wp:simplePos x="0" y="0"/>
              <wp:positionH relativeFrom="leftMargin">
                <wp:posOffset>1249680</wp:posOffset>
              </wp:positionH>
              <wp:positionV relativeFrom="paragraph">
                <wp:posOffset>15240</wp:posOffset>
              </wp:positionV>
              <wp:extent cx="6225540" cy="929640"/>
              <wp:effectExtent l="0" t="0" r="3810" b="3810"/>
              <wp:wrapNone/>
              <wp:docPr id="1075810598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5540" cy="92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CEE63" w14:textId="06D5E280" w:rsidR="0064106E" w:rsidRPr="0064106E" w:rsidRDefault="0064106E" w:rsidP="007951EE">
                          <w:pPr>
                            <w:pStyle w:val="ZhlavHMP"/>
                            <w:tabs>
                              <w:tab w:val="right" w:pos="921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Hlavní město Praha</w:t>
                          </w:r>
                          <w:r w:rsidR="007951EE" w:rsidRPr="007951EE">
                            <w:t xml:space="preserve"> </w:t>
                          </w:r>
                          <w:r w:rsidR="007951EE">
                            <w:tab/>
                            <w:t>TISKOVÁ ZPRÁVA</w:t>
                          </w:r>
                        </w:p>
                        <w:p w14:paraId="434221C2" w14:textId="77777777" w:rsidR="0064106E" w:rsidRPr="0064106E" w:rsidRDefault="0064106E" w:rsidP="0064106E">
                          <w:pPr>
                            <w:pStyle w:val="ZhlavHMP"/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Magistrát hlavního města Prahy</w:t>
                          </w:r>
                        </w:p>
                        <w:p w14:paraId="5B15E87D" w14:textId="3C7C15EC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 w:rsidRPr="00344090">
                            <w:rPr>
                              <w:sz w:val="18"/>
                              <w:szCs w:val="18"/>
                            </w:rPr>
                            <w:t>Odbor médií a marketingu</w:t>
                          </w:r>
                        </w:p>
                        <w:p w14:paraId="7284FB84" w14:textId="62287DD1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</w:t>
                          </w:r>
                          <w:r w:rsidR="0064106E" w:rsidRPr="0064106E">
                            <w:rPr>
                              <w:sz w:val="18"/>
                              <w:szCs w:val="18"/>
                            </w:rPr>
                            <w:t>ddělení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médií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0BB5F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98.4pt;margin-top:1.2pt;width:490.2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" filled="f" stroked="f" strokeweight=".5pt">
              <v:textbox inset="0,0,0,0">
                <w:txbxContent>
                  <w:p w14:paraId="56ACEE63" w14:textId="06D5E280" w:rsidR="0064106E" w:rsidRPr="0064106E" w:rsidRDefault="0064106E" w:rsidP="007951EE">
                    <w:pPr>
                      <w:pStyle w:val="ZhlavHMP"/>
                      <w:tabs>
                        <w:tab w:val="right" w:pos="9214"/>
                      </w:tabs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Hlavní město Praha</w:t>
                    </w:r>
                    <w:r w:rsidR="007951EE" w:rsidRPr="007951EE">
                      <w:t xml:space="preserve"> </w:t>
                    </w:r>
                    <w:r w:rsidR="007951EE">
                      <w:tab/>
                      <w:t>TISKOVÁ ZPRÁVA</w:t>
                    </w:r>
                  </w:p>
                  <w:p w14:paraId="434221C2" w14:textId="77777777" w:rsidR="0064106E" w:rsidRPr="0064106E" w:rsidRDefault="0064106E" w:rsidP="0064106E">
                    <w:pPr>
                      <w:pStyle w:val="ZhlavHMP"/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Magistrát hlavního města Prahy</w:t>
                    </w:r>
                  </w:p>
                  <w:p w14:paraId="5B15E87D" w14:textId="3C7C15EC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 w:rsidRPr="00344090">
                      <w:rPr>
                        <w:sz w:val="18"/>
                        <w:szCs w:val="18"/>
                      </w:rPr>
                      <w:t>Odbor médií a marketingu</w:t>
                    </w:r>
                  </w:p>
                  <w:p w14:paraId="7284FB84" w14:textId="62287DD1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</w:t>
                    </w:r>
                    <w:r w:rsidR="0064106E" w:rsidRPr="0064106E">
                      <w:rPr>
                        <w:sz w:val="18"/>
                        <w:szCs w:val="18"/>
                      </w:rPr>
                      <w:t>ddělení</w:t>
                    </w:r>
                    <w:r>
                      <w:rPr>
                        <w:sz w:val="18"/>
                        <w:szCs w:val="18"/>
                      </w:rPr>
                      <w:t xml:space="preserve"> médií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756285" distL="114300" distR="114300" simplePos="0" relativeHeight="251668480" behindDoc="1" locked="0" layoutInCell="1" allowOverlap="1" wp14:anchorId="55887F09" wp14:editId="707E6398">
          <wp:simplePos x="0" y="0"/>
          <wp:positionH relativeFrom="column">
            <wp:posOffset>8255</wp:posOffset>
          </wp:positionH>
          <wp:positionV relativeFrom="paragraph">
            <wp:posOffset>8255</wp:posOffset>
          </wp:positionV>
          <wp:extent cx="648000" cy="648000"/>
          <wp:effectExtent l="0" t="0" r="0" b="0"/>
          <wp:wrapTopAndBottom/>
          <wp:docPr id="2117567545" name="Obrázek 4" descr="Obsah obrázku text, Písmo, červen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88109" name="Obrázek 4" descr="Obsah obrázku text, Písmo, červená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8"/>
  </w:num>
  <w:num w:numId="5">
    <w:abstractNumId w:val="9"/>
  </w:num>
  <w:num w:numId="6">
    <w:abstractNumId w:val="20"/>
  </w:num>
  <w:num w:numId="7">
    <w:abstractNumId w:val="7"/>
  </w:num>
  <w:num w:numId="8">
    <w:abstractNumId w:val="15"/>
  </w:num>
  <w:num w:numId="9">
    <w:abstractNumId w:val="6"/>
  </w:num>
  <w:num w:numId="10">
    <w:abstractNumId w:val="17"/>
  </w:num>
  <w:num w:numId="11">
    <w:abstractNumId w:val="16"/>
  </w:num>
  <w:num w:numId="12">
    <w:abstractNumId w:val="5"/>
  </w:num>
  <w:num w:numId="13">
    <w:abstractNumId w:val="12"/>
  </w:num>
  <w:num w:numId="14">
    <w:abstractNumId w:val="19"/>
  </w:num>
  <w:num w:numId="15">
    <w:abstractNumId w:val="21"/>
  </w:num>
  <w:num w:numId="16">
    <w:abstractNumId w:val="1"/>
  </w:num>
  <w:num w:numId="17">
    <w:abstractNumId w:val="0"/>
  </w:num>
  <w:num w:numId="18">
    <w:abstractNumId w:val="14"/>
  </w:num>
  <w:num w:numId="19">
    <w:abstractNumId w:val="13"/>
  </w:num>
  <w:num w:numId="20">
    <w:abstractNumId w:val="2"/>
  </w:num>
  <w:num w:numId="21">
    <w:abstractNumId w:val="8"/>
  </w:num>
  <w:num w:numId="22">
    <w:abstractNumId w:val="23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1"/>
    <w:rsid w:val="00074522"/>
    <w:rsid w:val="00093B1A"/>
    <w:rsid w:val="00103CB5"/>
    <w:rsid w:val="001132DA"/>
    <w:rsid w:val="00154115"/>
    <w:rsid w:val="00184AAE"/>
    <w:rsid w:val="001B46D0"/>
    <w:rsid w:val="002A3E5B"/>
    <w:rsid w:val="00324778"/>
    <w:rsid w:val="00344090"/>
    <w:rsid w:val="00382FC6"/>
    <w:rsid w:val="003E5100"/>
    <w:rsid w:val="003E770D"/>
    <w:rsid w:val="00425AAA"/>
    <w:rsid w:val="0047713C"/>
    <w:rsid w:val="004D35F2"/>
    <w:rsid w:val="00517667"/>
    <w:rsid w:val="005378E1"/>
    <w:rsid w:val="00557253"/>
    <w:rsid w:val="00557EF0"/>
    <w:rsid w:val="00561E37"/>
    <w:rsid w:val="005C2055"/>
    <w:rsid w:val="005D79D7"/>
    <w:rsid w:val="0064106E"/>
    <w:rsid w:val="006617EF"/>
    <w:rsid w:val="006D2E4F"/>
    <w:rsid w:val="00714A6D"/>
    <w:rsid w:val="007369B9"/>
    <w:rsid w:val="00742010"/>
    <w:rsid w:val="00776AD6"/>
    <w:rsid w:val="007951EE"/>
    <w:rsid w:val="007976B6"/>
    <w:rsid w:val="007C209C"/>
    <w:rsid w:val="007F1E3F"/>
    <w:rsid w:val="00803816"/>
    <w:rsid w:val="008125F1"/>
    <w:rsid w:val="008242B6"/>
    <w:rsid w:val="008571CD"/>
    <w:rsid w:val="00864416"/>
    <w:rsid w:val="00877D0A"/>
    <w:rsid w:val="00895097"/>
    <w:rsid w:val="008A3F92"/>
    <w:rsid w:val="008D1A84"/>
    <w:rsid w:val="008D3919"/>
    <w:rsid w:val="00902F81"/>
    <w:rsid w:val="00902F95"/>
    <w:rsid w:val="00910907"/>
    <w:rsid w:val="0096019E"/>
    <w:rsid w:val="009721A1"/>
    <w:rsid w:val="00972A6E"/>
    <w:rsid w:val="009F2F0B"/>
    <w:rsid w:val="00A15EF7"/>
    <w:rsid w:val="00A834CE"/>
    <w:rsid w:val="00AA7A55"/>
    <w:rsid w:val="00AE6E65"/>
    <w:rsid w:val="00AF12ED"/>
    <w:rsid w:val="00B40B26"/>
    <w:rsid w:val="00B512BD"/>
    <w:rsid w:val="00B52B40"/>
    <w:rsid w:val="00B55D4D"/>
    <w:rsid w:val="00B852CC"/>
    <w:rsid w:val="00C26B01"/>
    <w:rsid w:val="00C300C6"/>
    <w:rsid w:val="00C56717"/>
    <w:rsid w:val="00C72841"/>
    <w:rsid w:val="00CE3DC2"/>
    <w:rsid w:val="00D1748A"/>
    <w:rsid w:val="00DB787C"/>
    <w:rsid w:val="00DE3AC9"/>
    <w:rsid w:val="00E04644"/>
    <w:rsid w:val="00E43689"/>
    <w:rsid w:val="00E5453F"/>
    <w:rsid w:val="00E6353E"/>
    <w:rsid w:val="00EA6C4C"/>
    <w:rsid w:val="00EB2749"/>
    <w:rsid w:val="00ED61A7"/>
    <w:rsid w:val="00EE38D7"/>
    <w:rsid w:val="00F07775"/>
    <w:rsid w:val="00F1612D"/>
    <w:rsid w:val="00F764ED"/>
    <w:rsid w:val="00F8250B"/>
    <w:rsid w:val="00FC6E08"/>
    <w:rsid w:val="00FE0CE9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D5BA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5C20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E-uHT7cy15q2UEcWKn0RtBANMDK9Wz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5EEE1-C34C-4F95-88E3-54B3D17B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Fialová Lucie</cp:lastModifiedBy>
  <cp:revision>3</cp:revision>
  <cp:lastPrinted>2024-07-22T14:09:00Z</cp:lastPrinted>
  <dcterms:created xsi:type="dcterms:W3CDTF">2025-11-07T07:05:00Z</dcterms:created>
  <dcterms:modified xsi:type="dcterms:W3CDTF">2025-11-07T07:06:00Z</dcterms:modified>
</cp:coreProperties>
</file>