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25" w:rsidRDefault="00BA4E17" w:rsidP="00BA4E17">
      <w:pPr>
        <w:pStyle w:val="Normln1"/>
        <w:spacing w:after="0" w:line="240" w:lineRule="auto"/>
        <w:rPr>
          <w:rFonts w:ascii="Cambria" w:eastAsia="Cambria" w:hAnsi="Cambria" w:cs="Cambria"/>
          <w:b/>
          <w:sz w:val="28"/>
          <w:szCs w:val="28"/>
        </w:rPr>
      </w:pPr>
      <w:r>
        <w:rPr>
          <w:rFonts w:ascii="Cambria" w:eastAsia="Cambria" w:hAnsi="Cambria" w:cs="Cambria"/>
          <w:b/>
          <w:sz w:val="28"/>
          <w:szCs w:val="28"/>
        </w:rPr>
        <w:t xml:space="preserve">     </w:t>
      </w:r>
      <w:r w:rsidR="003F26D0">
        <w:rPr>
          <w:rFonts w:ascii="Cambria" w:eastAsia="Cambria" w:hAnsi="Cambria" w:cs="Cambria"/>
          <w:b/>
          <w:sz w:val="28"/>
          <w:szCs w:val="28"/>
        </w:rPr>
        <w:t>Hệ thống</w:t>
      </w:r>
      <w:r>
        <w:rPr>
          <w:rFonts w:ascii="Cambria" w:eastAsia="Cambria" w:hAnsi="Cambria" w:cs="Cambria"/>
          <w:b/>
          <w:sz w:val="28"/>
          <w:szCs w:val="28"/>
        </w:rPr>
        <w:t xml:space="preserve"> </w:t>
      </w:r>
      <w:r w:rsidR="00B576BA">
        <w:rPr>
          <w:rFonts w:ascii="Cambria" w:eastAsia="Cambria" w:hAnsi="Cambria" w:cs="Cambria"/>
          <w:b/>
          <w:sz w:val="28"/>
          <w:szCs w:val="28"/>
        </w:rPr>
        <w:t>chở</w:t>
      </w:r>
      <w:r w:rsidR="000650D2">
        <w:rPr>
          <w:rFonts w:ascii="Cambria" w:eastAsia="Cambria" w:hAnsi="Cambria" w:cs="Cambria"/>
          <w:b/>
          <w:sz w:val="28"/>
          <w:szCs w:val="28"/>
        </w:rPr>
        <w:t xml:space="preserve"> đồ thải</w:t>
      </w:r>
      <w:r w:rsidR="00B576BA">
        <w:rPr>
          <w:rFonts w:ascii="Cambria" w:eastAsia="Cambria" w:hAnsi="Cambria" w:cs="Cambria"/>
          <w:b/>
          <w:sz w:val="28"/>
          <w:szCs w:val="28"/>
        </w:rPr>
        <w:t xml:space="preserve">  và dọn dẹp</w:t>
      </w:r>
      <w:r w:rsidR="000650D2">
        <w:rPr>
          <w:rFonts w:ascii="Cambria" w:eastAsia="Cambria" w:hAnsi="Cambria" w:cs="Cambria"/>
          <w:b/>
          <w:sz w:val="28"/>
          <w:szCs w:val="28"/>
        </w:rPr>
        <w:t xml:space="preserve"> xung </w:t>
      </w:r>
      <w:r w:rsidR="00B576BA">
        <w:rPr>
          <w:rFonts w:ascii="Cambria" w:eastAsia="Cambria" w:hAnsi="Cambria" w:cs="Cambria"/>
          <w:b/>
          <w:sz w:val="28"/>
          <w:szCs w:val="28"/>
        </w:rPr>
        <w:t>quanh „thùng rác“</w:t>
      </w:r>
      <w:r>
        <w:rPr>
          <w:rFonts w:ascii="Cambria" w:eastAsia="Cambria" w:hAnsi="Cambria" w:cs="Cambria"/>
          <w:b/>
          <w:sz w:val="28"/>
          <w:szCs w:val="28"/>
        </w:rPr>
        <w:t xml:space="preserve"> ở Praha</w:t>
      </w:r>
      <w:r w:rsidR="00B576BA">
        <w:rPr>
          <w:rFonts w:ascii="Cambria" w:eastAsia="Cambria" w:hAnsi="Cambria" w:cs="Cambria"/>
          <w:b/>
          <w:sz w:val="28"/>
          <w:szCs w:val="28"/>
        </w:rPr>
        <w:t xml:space="preserve"> </w:t>
      </w:r>
    </w:p>
    <w:p w:rsidR="00315325" w:rsidRDefault="00315325">
      <w:pPr>
        <w:pStyle w:val="Normln1"/>
        <w:spacing w:after="0" w:line="240" w:lineRule="auto"/>
        <w:jc w:val="both"/>
        <w:rPr>
          <w:rFonts w:ascii="Cambria" w:eastAsia="Cambria" w:hAnsi="Cambria" w:cs="Cambria"/>
          <w:sz w:val="24"/>
          <w:szCs w:val="24"/>
        </w:rPr>
      </w:pPr>
    </w:p>
    <w:p w:rsidR="00315325" w:rsidRDefault="000650D2">
      <w:pPr>
        <w:pStyle w:val="Normln1"/>
        <w:numPr>
          <w:ilvl w:val="0"/>
          <w:numId w:val="1"/>
        </w:numPr>
        <w:spacing w:after="0" w:line="240" w:lineRule="auto"/>
        <w:contextualSpacing/>
        <w:jc w:val="both"/>
        <w:rPr>
          <w:rFonts w:ascii="Cambria" w:eastAsia="Cambria" w:hAnsi="Cambria" w:cs="Cambria"/>
          <w:b/>
          <w:sz w:val="26"/>
          <w:szCs w:val="26"/>
        </w:rPr>
      </w:pPr>
      <w:r>
        <w:rPr>
          <w:rFonts w:ascii="Cambria" w:eastAsia="Cambria" w:hAnsi="Cambria" w:cs="Cambria"/>
          <w:b/>
          <w:sz w:val="26"/>
          <w:szCs w:val="26"/>
        </w:rPr>
        <w:t>Đồ thải hỗn hợp</w:t>
      </w:r>
    </w:p>
    <w:p w:rsidR="00315325" w:rsidRDefault="00315325">
      <w:pPr>
        <w:pStyle w:val="Normln1"/>
        <w:spacing w:after="0" w:line="240" w:lineRule="auto"/>
        <w:ind w:left="720"/>
        <w:jc w:val="both"/>
        <w:rPr>
          <w:rFonts w:ascii="Cambria" w:eastAsia="Cambria" w:hAnsi="Cambria" w:cs="Cambria"/>
          <w:sz w:val="24"/>
          <w:szCs w:val="24"/>
        </w:rPr>
      </w:pPr>
    </w:p>
    <w:p w:rsidR="00315325" w:rsidRDefault="000650D2" w:rsidP="00795EBC">
      <w:pPr>
        <w:pStyle w:val="Normln1"/>
        <w:spacing w:after="0" w:line="240" w:lineRule="auto"/>
        <w:jc w:val="both"/>
        <w:rPr>
          <w:rFonts w:ascii="Cambria" w:eastAsia="Cambria" w:hAnsi="Cambria" w:cs="Cambria"/>
          <w:sz w:val="24"/>
          <w:szCs w:val="24"/>
        </w:rPr>
      </w:pPr>
      <w:r>
        <w:rPr>
          <w:rFonts w:ascii="Cambria" w:eastAsia="Cambria" w:hAnsi="Cambria" w:cs="Cambria"/>
          <w:sz w:val="24"/>
          <w:szCs w:val="24"/>
        </w:rPr>
        <w:t xml:space="preserve">Trên lãnh thổ thủ </w:t>
      </w:r>
      <w:r w:rsidR="00BA4E17">
        <w:rPr>
          <w:rFonts w:ascii="Cambria" w:eastAsia="Cambria" w:hAnsi="Cambria" w:cs="Cambria"/>
          <w:sz w:val="24"/>
          <w:szCs w:val="24"/>
        </w:rPr>
        <w:t>đô</w:t>
      </w:r>
      <w:r>
        <w:rPr>
          <w:rFonts w:ascii="Cambria" w:eastAsia="Cambria" w:hAnsi="Cambria" w:cs="Cambria"/>
          <w:sz w:val="24"/>
          <w:szCs w:val="24"/>
        </w:rPr>
        <w:t xml:space="preserve"> Praha hiện nay đã đặt khoảng  118 nghìn thùng thu </w:t>
      </w:r>
      <w:r w:rsidR="00BA4E17">
        <w:rPr>
          <w:rFonts w:ascii="Cambria" w:eastAsia="Cambria" w:hAnsi="Cambria" w:cs="Cambria"/>
          <w:sz w:val="24"/>
          <w:szCs w:val="24"/>
        </w:rPr>
        <w:t xml:space="preserve">nhận đồ thải hỗn hợp có thể tích  70 – 1 100 lít, việc chở và đổ do các Cty chuyên trách thực hiện thường kỳ. Chu kỳ chở </w:t>
      </w:r>
      <w:r w:rsidR="00CC0B06">
        <w:rPr>
          <w:rFonts w:ascii="Cambria" w:eastAsia="Cambria" w:hAnsi="Cambria" w:cs="Cambria"/>
          <w:sz w:val="24"/>
          <w:szCs w:val="24"/>
        </w:rPr>
        <w:t xml:space="preserve">các thùng đựng đồ thải có phạm </w:t>
      </w:r>
      <w:proofErr w:type="gramStart"/>
      <w:r w:rsidR="00CC0B06">
        <w:rPr>
          <w:rFonts w:ascii="Cambria" w:eastAsia="Cambria" w:hAnsi="Cambria" w:cs="Cambria"/>
          <w:sz w:val="24"/>
          <w:szCs w:val="24"/>
        </w:rPr>
        <w:t>vi  1 lần</w:t>
      </w:r>
      <w:proofErr w:type="gramEnd"/>
      <w:r w:rsidR="00CC0B06">
        <w:rPr>
          <w:rFonts w:ascii="Cambria" w:eastAsia="Cambria" w:hAnsi="Cambria" w:cs="Cambria"/>
          <w:sz w:val="24"/>
          <w:szCs w:val="24"/>
        </w:rPr>
        <w:t xml:space="preserve"> trong  14 ngày đến 7 lần trong một tuần. Số lượng thùng đựng đồ thải luôn được tăng phụ thuộc vào số nơi đặt thùng và việc tăng dân số của thành phố.</w:t>
      </w:r>
    </w:p>
    <w:p w:rsidR="00315325" w:rsidRDefault="00FC7542" w:rsidP="00795EBC">
      <w:pPr>
        <w:pStyle w:val="Normln1"/>
        <w:spacing w:after="0" w:line="240" w:lineRule="auto"/>
        <w:jc w:val="both"/>
        <w:rPr>
          <w:rFonts w:ascii="Cambria" w:eastAsia="Cambria" w:hAnsi="Cambria" w:cs="Cambria"/>
          <w:i/>
          <w:sz w:val="24"/>
          <w:szCs w:val="24"/>
        </w:rPr>
      </w:pPr>
      <w:r>
        <w:rPr>
          <w:rFonts w:ascii="Cambria" w:eastAsia="Cambria" w:hAnsi="Cambria" w:cs="Cambria"/>
          <w:sz w:val="24"/>
          <w:szCs w:val="24"/>
        </w:rPr>
        <w:t xml:space="preserve">Trong điều kiện của thủ do </w:t>
      </w:r>
      <w:proofErr w:type="gramStart"/>
      <w:r>
        <w:rPr>
          <w:rFonts w:ascii="Cambria" w:eastAsia="Cambria" w:hAnsi="Cambria" w:cs="Cambria"/>
          <w:sz w:val="24"/>
          <w:szCs w:val="24"/>
        </w:rPr>
        <w:t>Praha</w:t>
      </w:r>
      <w:proofErr w:type="gramEnd"/>
      <w:r>
        <w:rPr>
          <w:rFonts w:ascii="Cambria" w:eastAsia="Cambria" w:hAnsi="Cambria" w:cs="Cambria"/>
          <w:sz w:val="24"/>
          <w:szCs w:val="24"/>
        </w:rPr>
        <w:t xml:space="preserve"> trách nhiệm đặt thùng để thu đồ thải hỗn hợp là  chủ cơ sở,người sở hữu </w:t>
      </w:r>
      <w:r w:rsidR="00795EBC">
        <w:rPr>
          <w:rFonts w:ascii="Cambria" w:eastAsia="Cambria" w:hAnsi="Cambria" w:cs="Cambria"/>
          <w:sz w:val="24"/>
          <w:szCs w:val="24"/>
        </w:rPr>
        <w:t>cơ sở có trách nhiệm đặt đủ số thùng cần thiết liên quan đến số người sử dụng cơ sở đó.  Trách nhiệm của chủ sở hữu cơ sở được qui định trong „thông báo về đồ thải“, đó là thông báo số 5/2007 Sb. của thủ đô Praha trong đó ở</w:t>
      </w:r>
      <w:r w:rsidR="00232CD1">
        <w:rPr>
          <w:rFonts w:ascii="Cambria" w:eastAsia="Cambria" w:hAnsi="Cambria" w:cs="Cambria"/>
          <w:sz w:val="24"/>
          <w:szCs w:val="24"/>
        </w:rPr>
        <w:t xml:space="preserve"> §</w:t>
      </w:r>
      <w:r w:rsidR="00795EBC">
        <w:rPr>
          <w:rFonts w:ascii="Cambria" w:eastAsia="Cambria" w:hAnsi="Cambria" w:cs="Cambria"/>
          <w:sz w:val="24"/>
          <w:szCs w:val="24"/>
        </w:rPr>
        <w:t xml:space="preserve"> 6 có nêu lên việc chủ cơ sở </w:t>
      </w:r>
      <w:r w:rsidR="00232CD1">
        <w:rPr>
          <w:rFonts w:ascii="Cambria" w:eastAsia="Cambria" w:hAnsi="Cambria" w:cs="Cambria"/>
          <w:sz w:val="24"/>
          <w:szCs w:val="24"/>
        </w:rPr>
        <w:t xml:space="preserve"> </w:t>
      </w:r>
      <w:r w:rsidR="007B7C10">
        <w:rPr>
          <w:rFonts w:ascii="Cambria" w:eastAsia="Cambria" w:hAnsi="Cambria" w:cs="Cambria"/>
          <w:i/>
          <w:sz w:val="24"/>
          <w:szCs w:val="24"/>
        </w:rPr>
        <w:t>„phải đặt ở Cty chuyên trách chuyên chở đồ thải đủ số thùng đảm bảo thể tích đựng đồ thải ,thể tích đảm bảo phụ thuộc vào loại cơ sở và được nêu trong phụ lục số 2 của thông báo đã nêu.</w:t>
      </w:r>
      <w:r w:rsidR="00232CD1">
        <w:rPr>
          <w:rFonts w:ascii="Cambria" w:eastAsia="Cambria" w:hAnsi="Cambria" w:cs="Cambria"/>
          <w:i/>
          <w:sz w:val="24"/>
          <w:szCs w:val="24"/>
        </w:rPr>
        <w:t xml:space="preserve">“ </w:t>
      </w:r>
    </w:p>
    <w:p w:rsidR="001B7BF1" w:rsidRDefault="007B7C10" w:rsidP="00795EBC">
      <w:pPr>
        <w:pStyle w:val="Normln1"/>
        <w:spacing w:after="0" w:line="240" w:lineRule="auto"/>
        <w:jc w:val="both"/>
        <w:rPr>
          <w:rFonts w:ascii="Cambria" w:eastAsia="Cambria" w:hAnsi="Cambria" w:cs="Cambria"/>
          <w:sz w:val="24"/>
          <w:szCs w:val="24"/>
        </w:rPr>
      </w:pPr>
      <w:r>
        <w:rPr>
          <w:rFonts w:ascii="Cambria" w:eastAsia="Cambria" w:hAnsi="Cambria" w:cs="Cambria"/>
          <w:sz w:val="24"/>
          <w:szCs w:val="24"/>
        </w:rPr>
        <w:t xml:space="preserve">Thể tích cần thiết của các thùng đựng đồ thải </w:t>
      </w:r>
      <w:r w:rsidR="00291E1F">
        <w:rPr>
          <w:rFonts w:ascii="Cambria" w:eastAsia="Cambria" w:hAnsi="Cambria" w:cs="Cambria"/>
          <w:sz w:val="24"/>
          <w:szCs w:val="24"/>
        </w:rPr>
        <w:t>cho số người sử dụng cơ sở đó được qui định theo loại bất động sản</w:t>
      </w:r>
      <w:r w:rsidR="00232CD1">
        <w:rPr>
          <w:rFonts w:ascii="Cambria" w:eastAsia="Cambria" w:hAnsi="Cambria" w:cs="Cambria"/>
          <w:sz w:val="24"/>
          <w:szCs w:val="24"/>
        </w:rPr>
        <w:t xml:space="preserve">. </w:t>
      </w:r>
      <w:r w:rsidR="00291E1F">
        <w:rPr>
          <w:rFonts w:ascii="Cambria" w:eastAsia="Cambria" w:hAnsi="Cambria" w:cs="Cambria"/>
          <w:sz w:val="24"/>
          <w:szCs w:val="24"/>
        </w:rPr>
        <w:t xml:space="preserve">Đối với bất động sản là nhà biệt thự để ở thì được tính 4 lít/1 người và 1 ngày, đối với nhà khu phố tính 4 – 6 lít/1 người và 1 ngày và đối với </w:t>
      </w:r>
      <w:r w:rsidR="001B7BF1">
        <w:rPr>
          <w:rFonts w:ascii="Cambria" w:eastAsia="Cambria" w:hAnsi="Cambria" w:cs="Cambria"/>
          <w:sz w:val="24"/>
          <w:szCs w:val="24"/>
        </w:rPr>
        <w:t xml:space="preserve">nhà trong khu </w:t>
      </w:r>
      <w:r w:rsidR="00291E1F">
        <w:rPr>
          <w:rFonts w:ascii="Cambria" w:eastAsia="Cambria" w:hAnsi="Cambria" w:cs="Cambria"/>
          <w:sz w:val="24"/>
          <w:szCs w:val="24"/>
        </w:rPr>
        <w:t xml:space="preserve">chung cư </w:t>
      </w:r>
      <w:r w:rsidR="001B7BF1">
        <w:rPr>
          <w:rFonts w:ascii="Cambria" w:eastAsia="Cambria" w:hAnsi="Cambria" w:cs="Cambria"/>
          <w:sz w:val="24"/>
          <w:szCs w:val="24"/>
        </w:rPr>
        <w:t xml:space="preserve">thì số thùng chứa đồ thải được qui định 5 – 7 lít/1 người,1 ngày.Việc qui định thể tích cho đầu người đã nêu chỉ mang tích chất hướng dẫn vì nếu các gia đình  ở trong cơ sở phân loại các đồ thải nghiêm túc thì  có thể đặt thùng đựng đồ thải và chu kỳ chở đi „đúng kích thước“ </w:t>
      </w:r>
      <w:r w:rsidR="00B62165">
        <w:rPr>
          <w:rFonts w:ascii="Cambria" w:eastAsia="Cambria" w:hAnsi="Cambria" w:cs="Cambria"/>
          <w:sz w:val="24"/>
          <w:szCs w:val="24"/>
        </w:rPr>
        <w:t xml:space="preserve">theo nguyên tắc „càng phân loại cụ thể đồ thải càng phải trả ít tiền“.Giá của thùng chứa đồ thải ở Praha phụ thuộc vào kích thước thùng và chu kỳ chở </w:t>
      </w:r>
      <w:proofErr w:type="gramStart"/>
      <w:r w:rsidR="00B62165">
        <w:rPr>
          <w:rFonts w:ascii="Cambria" w:eastAsia="Cambria" w:hAnsi="Cambria" w:cs="Cambria"/>
          <w:sz w:val="24"/>
          <w:szCs w:val="24"/>
        </w:rPr>
        <w:t>đi đổ.Hệ thống</w:t>
      </w:r>
      <w:proofErr w:type="gramEnd"/>
      <w:r w:rsidR="00B62165">
        <w:rPr>
          <w:rFonts w:ascii="Cambria" w:eastAsia="Cambria" w:hAnsi="Cambria" w:cs="Cambria"/>
          <w:sz w:val="24"/>
          <w:szCs w:val="24"/>
        </w:rPr>
        <w:t xml:space="preserve"> này cổ vũ công dân thực hiện nguyên lý tự tiết kiệm và phù hợp với nội dung làm việc của toàn quốc cũng như củ</w:t>
      </w:r>
      <w:r w:rsidR="00244CE6">
        <w:rPr>
          <w:rFonts w:ascii="Cambria" w:eastAsia="Cambria" w:hAnsi="Cambria" w:cs="Cambria"/>
          <w:sz w:val="24"/>
          <w:szCs w:val="24"/>
        </w:rPr>
        <w:t xml:space="preserve">a </w:t>
      </w:r>
      <w:r w:rsidR="00B62165">
        <w:rPr>
          <w:rFonts w:ascii="Cambria" w:eastAsia="Cambria" w:hAnsi="Cambria" w:cs="Cambria"/>
          <w:sz w:val="24"/>
          <w:szCs w:val="24"/>
        </w:rPr>
        <w:t xml:space="preserve"> châu Âu.</w:t>
      </w:r>
    </w:p>
    <w:p w:rsidR="003D0333" w:rsidRDefault="003D0333" w:rsidP="00B62165">
      <w:pPr>
        <w:pStyle w:val="Normln1"/>
        <w:tabs>
          <w:tab w:val="left" w:pos="851"/>
        </w:tabs>
        <w:spacing w:before="280" w:after="280" w:line="240" w:lineRule="auto"/>
        <w:jc w:val="both"/>
        <w:rPr>
          <w:rFonts w:ascii="Cambria" w:eastAsia="Cambria" w:hAnsi="Cambria" w:cs="Cambria"/>
          <w:sz w:val="24"/>
          <w:szCs w:val="24"/>
        </w:rPr>
      </w:pPr>
      <w:r>
        <w:rPr>
          <w:rFonts w:ascii="Cambria" w:eastAsia="Cambria" w:hAnsi="Cambria" w:cs="Cambria"/>
          <w:sz w:val="24"/>
          <w:szCs w:val="24"/>
        </w:rPr>
        <w:t xml:space="preserve">Nếu tại cơ sở bất động sản có những thùng đầy </w:t>
      </w:r>
      <w:proofErr w:type="gramStart"/>
      <w:r>
        <w:rPr>
          <w:rFonts w:ascii="Cambria" w:eastAsia="Cambria" w:hAnsi="Cambria" w:cs="Cambria"/>
          <w:sz w:val="24"/>
          <w:szCs w:val="24"/>
        </w:rPr>
        <w:t>tràn  th</w:t>
      </w:r>
      <w:proofErr w:type="gramEnd"/>
      <w:r>
        <w:rPr>
          <w:rFonts w:ascii="Cambria" w:eastAsia="Cambria" w:hAnsi="Cambria" w:cs="Cambria"/>
          <w:sz w:val="24"/>
          <w:szCs w:val="24"/>
        </w:rPr>
        <w:t xml:space="preserve">ì phải xem chủ cơ sở đó có đặt cho đơn vị chở đồ thải đủ số thùng cần thiết hay chu kỳ chở chúng đi có quá lâu không. Rất tiếc rằng chủ cơ sở cho là đơn vị chở đồ thải sẽ đưa đi cả những thứ gì bỏ ngoài thùng chứa. </w:t>
      </w:r>
      <w:r w:rsidR="00267AC2">
        <w:rPr>
          <w:rFonts w:ascii="Cambria" w:eastAsia="Cambria" w:hAnsi="Cambria" w:cs="Cambria"/>
          <w:sz w:val="24"/>
          <w:szCs w:val="24"/>
        </w:rPr>
        <w:t>Họ cho là có thể bỏ vào thùng chứa mọi thứ-kể cả những đồ thải có thể tích lớn (nệm giường,bàn nghế,xalong) và cả các thiết bị điện đã không sử dụng được nữa như tivi,máy tính,tủ lạnh,thiết bị điện phục vụ nấu ăn…</w:t>
      </w:r>
    </w:p>
    <w:p w:rsidR="00315325" w:rsidRDefault="00267AC2" w:rsidP="00B62165">
      <w:pPr>
        <w:pStyle w:val="Normln1"/>
        <w:tabs>
          <w:tab w:val="left" w:pos="851"/>
        </w:tabs>
        <w:spacing w:before="280" w:after="280" w:line="240" w:lineRule="auto"/>
        <w:jc w:val="both"/>
        <w:rPr>
          <w:rFonts w:ascii="Cambria" w:eastAsia="Cambria" w:hAnsi="Cambria" w:cs="Cambria"/>
          <w:sz w:val="24"/>
          <w:szCs w:val="24"/>
        </w:rPr>
      </w:pPr>
      <w:r>
        <w:rPr>
          <w:rFonts w:ascii="Cambria" w:eastAsia="Cambria" w:hAnsi="Cambria" w:cs="Cambria"/>
          <w:sz w:val="24"/>
          <w:szCs w:val="24"/>
        </w:rPr>
        <w:t xml:space="preserve"> Hình số </w:t>
      </w:r>
      <w:r w:rsidR="00232CD1">
        <w:rPr>
          <w:rFonts w:ascii="Cambria" w:eastAsia="Cambria" w:hAnsi="Cambria" w:cs="Cambria"/>
          <w:sz w:val="24"/>
          <w:szCs w:val="24"/>
        </w:rPr>
        <w:t>1:</w:t>
      </w:r>
      <w:r>
        <w:rPr>
          <w:rFonts w:ascii="Cambria" w:eastAsia="Cambria" w:hAnsi="Cambria" w:cs="Cambria"/>
          <w:sz w:val="24"/>
          <w:szCs w:val="24"/>
        </w:rPr>
        <w:t xml:space="preserve"> Một dẫn chứng </w:t>
      </w:r>
      <w:r w:rsidR="00611354">
        <w:rPr>
          <w:rFonts w:ascii="Cambria" w:eastAsia="Cambria" w:hAnsi="Cambria" w:cs="Cambria"/>
          <w:sz w:val="24"/>
          <w:szCs w:val="24"/>
        </w:rPr>
        <w:t xml:space="preserve">tình trạng ở </w:t>
      </w:r>
      <w:r>
        <w:rPr>
          <w:rFonts w:ascii="Cambria" w:eastAsia="Cambria" w:hAnsi="Cambria" w:cs="Cambria"/>
          <w:sz w:val="24"/>
          <w:szCs w:val="24"/>
        </w:rPr>
        <w:t>trạm để thùng chứa đồ thải tại khu chung cư</w:t>
      </w:r>
    </w:p>
    <w:p w:rsidR="00315325" w:rsidRDefault="00232CD1" w:rsidP="00795EBC">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noProof/>
          <w:sz w:val="24"/>
          <w:szCs w:val="24"/>
        </w:rPr>
        <w:drawing>
          <wp:inline distT="0" distB="0" distL="0" distR="0">
            <wp:extent cx="5063066" cy="2667000"/>
            <wp:effectExtent l="0" t="0" r="0" b="0"/>
            <wp:docPr id="3" name="image6.jpg" descr="C:\Users\m000xm2032\Documents\Dokumenty\Provoz oddělení 2017\Příklady separace a směs\20170822_185439.jpg"/>
            <wp:cNvGraphicFramePr/>
            <a:graphic xmlns:a="http://schemas.openxmlformats.org/drawingml/2006/main">
              <a:graphicData uri="http://schemas.openxmlformats.org/drawingml/2006/picture">
                <pic:pic xmlns:pic="http://schemas.openxmlformats.org/drawingml/2006/picture">
                  <pic:nvPicPr>
                    <pic:cNvPr id="0" name="image6.jpg" descr="C:\Users\m000xm2032\Documents\Dokumenty\Provoz oddělení 2017\Příklady separace a směs\20170822_185439.jpg"/>
                    <pic:cNvPicPr preferRelativeResize="0"/>
                  </pic:nvPicPr>
                  <pic:blipFill>
                    <a:blip r:embed="rId6" cstate="print"/>
                    <a:srcRect/>
                    <a:stretch>
                      <a:fillRect/>
                    </a:stretch>
                  </pic:blipFill>
                  <pic:spPr>
                    <a:xfrm>
                      <a:off x="0" y="0"/>
                      <a:ext cx="5063066" cy="2667000"/>
                    </a:xfrm>
                    <a:prstGeom prst="rect">
                      <a:avLst/>
                    </a:prstGeom>
                    <a:ln/>
                  </pic:spPr>
                </pic:pic>
              </a:graphicData>
            </a:graphic>
          </wp:inline>
        </w:drawing>
      </w:r>
    </w:p>
    <w:p w:rsidR="00315325" w:rsidRDefault="00611354">
      <w:pPr>
        <w:pStyle w:val="Normln1"/>
        <w:tabs>
          <w:tab w:val="left" w:pos="851"/>
        </w:tabs>
        <w:spacing w:after="280" w:line="240" w:lineRule="auto"/>
        <w:jc w:val="both"/>
        <w:rPr>
          <w:rFonts w:ascii="Cambria" w:eastAsia="Cambria" w:hAnsi="Cambria" w:cs="Cambria"/>
          <w:b/>
          <w:sz w:val="24"/>
          <w:szCs w:val="24"/>
        </w:rPr>
      </w:pPr>
      <w:r>
        <w:rPr>
          <w:rFonts w:ascii="Cambria" w:eastAsia="Cambria" w:hAnsi="Cambria" w:cs="Cambria"/>
          <w:b/>
          <w:sz w:val="24"/>
          <w:szCs w:val="24"/>
        </w:rPr>
        <w:lastRenderedPageBreak/>
        <w:t>Câu hỏi</w:t>
      </w:r>
      <w:r w:rsidR="00232CD1">
        <w:rPr>
          <w:rFonts w:ascii="Cambria" w:eastAsia="Cambria" w:hAnsi="Cambria" w:cs="Cambria"/>
          <w:b/>
          <w:sz w:val="24"/>
          <w:szCs w:val="24"/>
        </w:rPr>
        <w:t>:</w:t>
      </w:r>
      <w:r>
        <w:rPr>
          <w:rFonts w:ascii="Cambria" w:eastAsia="Cambria" w:hAnsi="Cambria" w:cs="Cambria"/>
          <w:b/>
          <w:sz w:val="24"/>
          <w:szCs w:val="24"/>
        </w:rPr>
        <w:t xml:space="preserve"> Cty chở đồ thải có trách nhiệm đảm bảo sạch sẽ và dọn dẹp các trạm cố định để thùng đưng đồ thải hỗn hợp  khi xung quanh đó có đồ thải vất bỏ hay không</w:t>
      </w:r>
      <w:r w:rsidR="00232CD1">
        <w:rPr>
          <w:rFonts w:ascii="Cambria" w:eastAsia="Cambria" w:hAnsi="Cambria" w:cs="Cambria"/>
          <w:b/>
          <w:sz w:val="24"/>
          <w:szCs w:val="24"/>
        </w:rPr>
        <w:t xml:space="preserve">? </w:t>
      </w:r>
    </w:p>
    <w:p w:rsidR="00315325" w:rsidRDefault="00611354">
      <w:pPr>
        <w:pStyle w:val="Normln1"/>
        <w:tabs>
          <w:tab w:val="left" w:pos="851"/>
        </w:tabs>
        <w:spacing w:after="280" w:line="240" w:lineRule="auto"/>
        <w:jc w:val="both"/>
        <w:rPr>
          <w:rFonts w:ascii="Cambria" w:eastAsia="Cambria" w:hAnsi="Cambria" w:cs="Cambria"/>
          <w:b/>
          <w:sz w:val="24"/>
          <w:szCs w:val="24"/>
        </w:rPr>
      </w:pPr>
      <w:r>
        <w:rPr>
          <w:rFonts w:ascii="Cambria" w:eastAsia="Cambria" w:hAnsi="Cambria" w:cs="Cambria"/>
          <w:b/>
          <w:sz w:val="24"/>
          <w:szCs w:val="24"/>
        </w:rPr>
        <w:t>Câu trả lời: Không</w:t>
      </w:r>
      <w:r w:rsidR="001878CF">
        <w:rPr>
          <w:rFonts w:ascii="Cambria" w:eastAsia="Cambria" w:hAnsi="Cambria" w:cs="Cambria"/>
          <w:b/>
          <w:sz w:val="24"/>
          <w:szCs w:val="24"/>
        </w:rPr>
        <w:t xml:space="preserve">. Cty chỉ có trách nhiệm dọn dẹp những đồ thải hay rác rưởi khi cho lên xe bị rơi  ra khỏi thùng  mà thôi. Nhưng chủ cơ sở có thể thỏa thuận với đơn vị chở đồ thải trả thêm tiền để Cty chở thực hiện thường xuyên dọn dẹp trạm để thùng cũng </w:t>
      </w:r>
      <w:r w:rsidR="00BD0978">
        <w:rPr>
          <w:rFonts w:ascii="Cambria" w:eastAsia="Cambria" w:hAnsi="Cambria" w:cs="Cambria"/>
          <w:b/>
          <w:sz w:val="24"/>
          <w:szCs w:val="24"/>
        </w:rPr>
        <w:t>như</w:t>
      </w:r>
      <w:r w:rsidR="001878CF">
        <w:rPr>
          <w:rFonts w:ascii="Cambria" w:eastAsia="Cambria" w:hAnsi="Cambria" w:cs="Cambria"/>
          <w:b/>
          <w:sz w:val="24"/>
          <w:szCs w:val="24"/>
        </w:rPr>
        <w:t xml:space="preserve"> các thùng đựng đồ thải. </w:t>
      </w:r>
      <w:r w:rsidR="00BD0978">
        <w:rPr>
          <w:rFonts w:ascii="Cambria" w:eastAsia="Cambria" w:hAnsi="Cambria" w:cs="Cambria"/>
          <w:b/>
          <w:sz w:val="24"/>
          <w:szCs w:val="24"/>
        </w:rPr>
        <w:t>Ngược lại,khi nhận thấy các thùng chứa đồ thải không có khối lượng cần thiết thì đơn vị chở thùng cần báo cho chủ cơ sở để giải quyết tình trạng này.</w:t>
      </w:r>
    </w:p>
    <w:p w:rsidR="00315325" w:rsidRDefault="009503C9">
      <w:pPr>
        <w:pStyle w:val="Normln1"/>
        <w:tabs>
          <w:tab w:val="left" w:pos="851"/>
        </w:tabs>
        <w:spacing w:after="280" w:line="240" w:lineRule="auto"/>
        <w:jc w:val="both"/>
        <w:rPr>
          <w:rFonts w:ascii="Cambria" w:eastAsia="Cambria" w:hAnsi="Cambria" w:cs="Cambria"/>
          <w:b/>
          <w:sz w:val="24"/>
          <w:szCs w:val="24"/>
        </w:rPr>
      </w:pPr>
      <w:r>
        <w:rPr>
          <w:rFonts w:ascii="Cambria" w:eastAsia="Cambria" w:hAnsi="Cambria" w:cs="Cambria"/>
          <w:b/>
          <w:sz w:val="24"/>
          <w:szCs w:val="24"/>
        </w:rPr>
        <w:t>Các cá nhân cho</w:t>
      </w:r>
      <w:r w:rsidR="00BD0978">
        <w:rPr>
          <w:rFonts w:ascii="Cambria" w:eastAsia="Cambria" w:hAnsi="Cambria" w:cs="Cambria"/>
          <w:b/>
          <w:sz w:val="24"/>
          <w:szCs w:val="24"/>
        </w:rPr>
        <w:t xml:space="preserve"> đồ thải ngoài thùng (kể cả cho vào bịch nylong rồi để bên cạnh thùng)</w:t>
      </w:r>
      <w:r>
        <w:rPr>
          <w:rFonts w:ascii="Cambria" w:eastAsia="Cambria" w:hAnsi="Cambria" w:cs="Cambria"/>
          <w:b/>
          <w:sz w:val="24"/>
          <w:szCs w:val="24"/>
        </w:rPr>
        <w:t xml:space="preserve"> đã phạm vào qui định </w:t>
      </w:r>
      <w:proofErr w:type="gramStart"/>
      <w:r>
        <w:rPr>
          <w:rFonts w:ascii="Cambria" w:eastAsia="Cambria" w:hAnsi="Cambria" w:cs="Cambria"/>
          <w:b/>
          <w:sz w:val="24"/>
          <w:szCs w:val="24"/>
        </w:rPr>
        <w:t xml:space="preserve">của </w:t>
      </w:r>
      <w:r w:rsidR="00BD0978">
        <w:rPr>
          <w:rFonts w:ascii="Cambria" w:eastAsia="Cambria" w:hAnsi="Cambria" w:cs="Cambria"/>
          <w:b/>
          <w:sz w:val="24"/>
          <w:szCs w:val="24"/>
        </w:rPr>
        <w:t xml:space="preserve"> </w:t>
      </w:r>
      <w:r>
        <w:rPr>
          <w:rFonts w:ascii="Cambria" w:eastAsia="Cambria" w:hAnsi="Cambria" w:cs="Cambria"/>
          <w:b/>
          <w:sz w:val="24"/>
          <w:szCs w:val="24"/>
        </w:rPr>
        <w:t xml:space="preserve"> § 69</w:t>
      </w:r>
      <w:proofErr w:type="gramEnd"/>
      <w:r>
        <w:rPr>
          <w:rFonts w:ascii="Cambria" w:eastAsia="Cambria" w:hAnsi="Cambria" w:cs="Cambria"/>
          <w:b/>
          <w:sz w:val="24"/>
          <w:szCs w:val="24"/>
        </w:rPr>
        <w:t xml:space="preserve"> điều  2  của luật số 185/2001 Sb., luật về đồ thải và những thay đổi của các luật liên quan theo nội dung bổ sung về sau. Vi phạm vào điều này,người sai phạm có thể bị phạt tiền đến</w:t>
      </w:r>
      <w:r w:rsidR="00232CD1">
        <w:rPr>
          <w:rFonts w:ascii="Cambria" w:eastAsia="Cambria" w:hAnsi="Cambria" w:cs="Cambria"/>
          <w:b/>
          <w:sz w:val="24"/>
          <w:szCs w:val="24"/>
        </w:rPr>
        <w:t xml:space="preserve"> 50 000 Kč.</w:t>
      </w:r>
    </w:p>
    <w:p w:rsidR="00315325" w:rsidRDefault="009503C9">
      <w:pPr>
        <w:pStyle w:val="Normln1"/>
        <w:tabs>
          <w:tab w:val="left" w:pos="851"/>
        </w:tabs>
        <w:spacing w:after="280" w:line="240" w:lineRule="auto"/>
        <w:jc w:val="both"/>
        <w:rPr>
          <w:rFonts w:ascii="Cambria" w:eastAsia="Cambria" w:hAnsi="Cambria" w:cs="Cambria"/>
          <w:b/>
          <w:sz w:val="24"/>
          <w:szCs w:val="24"/>
        </w:rPr>
      </w:pPr>
      <w:r>
        <w:rPr>
          <w:rFonts w:ascii="Cambria" w:eastAsia="Cambria" w:hAnsi="Cambria" w:cs="Cambria"/>
          <w:b/>
          <w:sz w:val="24"/>
          <w:szCs w:val="24"/>
        </w:rPr>
        <w:t xml:space="preserve">Theo qui định ghi trong  § 33a điều 1 chữ  b) của luật số 131/2000 Sb.,luật về thủ do </w:t>
      </w:r>
      <w:proofErr w:type="gramStart"/>
      <w:r>
        <w:rPr>
          <w:rFonts w:ascii="Cambria" w:eastAsia="Cambria" w:hAnsi="Cambria" w:cs="Cambria"/>
          <w:b/>
          <w:sz w:val="24"/>
          <w:szCs w:val="24"/>
        </w:rPr>
        <w:t>Praha</w:t>
      </w:r>
      <w:proofErr w:type="gramEnd"/>
      <w:r>
        <w:rPr>
          <w:rFonts w:ascii="Cambria" w:eastAsia="Cambria" w:hAnsi="Cambria" w:cs="Cambria"/>
          <w:b/>
          <w:sz w:val="24"/>
          <w:szCs w:val="24"/>
        </w:rPr>
        <w:t xml:space="preserve"> </w:t>
      </w:r>
      <w:r w:rsidR="00930955">
        <w:rPr>
          <w:rFonts w:ascii="Cambria" w:eastAsia="Cambria" w:hAnsi="Cambria" w:cs="Cambria"/>
          <w:b/>
          <w:sz w:val="24"/>
          <w:szCs w:val="24"/>
        </w:rPr>
        <w:t>với các nội dung bổ sung về sau,các cá nhân không giữ sạch sẻ  và để đồ đạc lộn xộn tại khu đất mà mình là chủ sở hữu hay được quyền sử dụng và như vậy đã làm giảm „bộ mặt“ khu phố đó.</w:t>
      </w:r>
      <w:r w:rsidR="00036900">
        <w:rPr>
          <w:rFonts w:ascii="Cambria" w:eastAsia="Cambria" w:hAnsi="Cambria" w:cs="Cambria"/>
          <w:b/>
          <w:sz w:val="24"/>
          <w:szCs w:val="24"/>
        </w:rPr>
        <w:t xml:space="preserve"> Phạm vào điều khoản này,người vi phạm có thể bị phạt tiền đến  500 000 Kč. Nếu mãnh đất hay một phần của mãnh đất</w:t>
      </w:r>
      <w:r w:rsidR="00232CD1">
        <w:rPr>
          <w:rFonts w:ascii="Cambria" w:eastAsia="Cambria" w:hAnsi="Cambria" w:cs="Cambria"/>
          <w:b/>
          <w:sz w:val="24"/>
          <w:szCs w:val="24"/>
        </w:rPr>
        <w:t xml:space="preserve"> </w:t>
      </w:r>
      <w:r w:rsidR="00036900">
        <w:rPr>
          <w:rFonts w:ascii="Cambria" w:eastAsia="Cambria" w:hAnsi="Cambria" w:cs="Cambria"/>
          <w:b/>
          <w:sz w:val="24"/>
          <w:szCs w:val="24"/>
        </w:rPr>
        <w:t xml:space="preserve">mà chủ sở hữu đã cho người khác  sử dụng hợp pháp thì người sử dụng chịu trách nhiệm thực hiện điều này trước pháp chế. Theo luật về thủ do </w:t>
      </w:r>
      <w:proofErr w:type="gramStart"/>
      <w:r w:rsidR="00036900">
        <w:rPr>
          <w:rFonts w:ascii="Cambria" w:eastAsia="Cambria" w:hAnsi="Cambria" w:cs="Cambria"/>
          <w:b/>
          <w:sz w:val="24"/>
          <w:szCs w:val="24"/>
        </w:rPr>
        <w:t>Praha</w:t>
      </w:r>
      <w:proofErr w:type="gramEnd"/>
      <w:r w:rsidR="00036900">
        <w:rPr>
          <w:rFonts w:ascii="Cambria" w:eastAsia="Cambria" w:hAnsi="Cambria" w:cs="Cambria"/>
          <w:b/>
          <w:sz w:val="24"/>
          <w:szCs w:val="24"/>
        </w:rPr>
        <w:t xml:space="preserve"> đã nêu thì các đơn vị hay các </w:t>
      </w:r>
      <w:r w:rsidR="00374A61">
        <w:rPr>
          <w:rFonts w:ascii="Cambria" w:eastAsia="Cambria" w:hAnsi="Cambria" w:cs="Cambria"/>
          <w:b/>
          <w:sz w:val="24"/>
          <w:szCs w:val="24"/>
        </w:rPr>
        <w:t xml:space="preserve">cá </w:t>
      </w:r>
      <w:r w:rsidR="00036900">
        <w:rPr>
          <w:rFonts w:ascii="Cambria" w:eastAsia="Cambria" w:hAnsi="Cambria" w:cs="Cambria"/>
          <w:b/>
          <w:sz w:val="24"/>
          <w:szCs w:val="24"/>
        </w:rPr>
        <w:t xml:space="preserve">nhân kinh doanh cá thể nếu phạm vào điều khoản </w:t>
      </w:r>
      <w:r w:rsidR="00232CD1">
        <w:rPr>
          <w:rFonts w:ascii="Cambria" w:eastAsia="Cambria" w:hAnsi="Cambria" w:cs="Cambria"/>
          <w:b/>
          <w:sz w:val="24"/>
          <w:szCs w:val="24"/>
        </w:rPr>
        <w:t xml:space="preserve"> </w:t>
      </w:r>
      <w:r w:rsidR="00374A61">
        <w:rPr>
          <w:rFonts w:ascii="Cambria" w:eastAsia="Cambria" w:hAnsi="Cambria" w:cs="Cambria"/>
          <w:b/>
          <w:sz w:val="24"/>
          <w:szCs w:val="24"/>
        </w:rPr>
        <w:t>này</w:t>
      </w:r>
      <w:r w:rsidR="00036900">
        <w:rPr>
          <w:rFonts w:ascii="Cambria" w:eastAsia="Cambria" w:hAnsi="Cambria" w:cs="Cambria"/>
          <w:b/>
          <w:sz w:val="24"/>
          <w:szCs w:val="24"/>
        </w:rPr>
        <w:t xml:space="preserve"> </w:t>
      </w:r>
      <w:r w:rsidR="00374A61">
        <w:rPr>
          <w:rFonts w:ascii="Cambria" w:eastAsia="Cambria" w:hAnsi="Cambria" w:cs="Cambria"/>
          <w:b/>
          <w:sz w:val="24"/>
          <w:szCs w:val="24"/>
        </w:rPr>
        <w:t>thì</w:t>
      </w:r>
      <w:r w:rsidR="00036900">
        <w:rPr>
          <w:rFonts w:ascii="Cambria" w:eastAsia="Cambria" w:hAnsi="Cambria" w:cs="Cambria"/>
          <w:b/>
          <w:sz w:val="24"/>
          <w:szCs w:val="24"/>
        </w:rPr>
        <w:t xml:space="preserve"> cũng bị phạt tiền với mức tố</w:t>
      </w:r>
      <w:r w:rsidR="00374A61">
        <w:rPr>
          <w:rFonts w:ascii="Cambria" w:eastAsia="Cambria" w:hAnsi="Cambria" w:cs="Cambria"/>
          <w:b/>
          <w:sz w:val="24"/>
          <w:szCs w:val="24"/>
        </w:rPr>
        <w:t>i đa  như đối với cá nhân</w:t>
      </w:r>
      <w:r w:rsidR="00036900">
        <w:rPr>
          <w:rFonts w:ascii="Cambria" w:eastAsia="Cambria" w:hAnsi="Cambria" w:cs="Cambria"/>
          <w:b/>
          <w:sz w:val="24"/>
          <w:szCs w:val="24"/>
        </w:rPr>
        <w:t>.</w:t>
      </w:r>
      <w:r w:rsidR="00374A61">
        <w:rPr>
          <w:rFonts w:ascii="Cambria" w:eastAsia="Cambria" w:hAnsi="Cambria" w:cs="Cambria"/>
          <w:b/>
          <w:sz w:val="24"/>
          <w:szCs w:val="24"/>
        </w:rPr>
        <w:t xml:space="preserve"> Sự vi phạm của các đơn vị hay cá nhân kinh doanh cá thể  được điều chỉnh trong § 33a điều 2 chữ  b) của luật đã nêu.</w:t>
      </w:r>
      <w:r w:rsidR="00232CD1">
        <w:rPr>
          <w:rFonts w:ascii="Cambria" w:eastAsia="Cambria" w:hAnsi="Cambria" w:cs="Cambria"/>
          <w:b/>
          <w:sz w:val="24"/>
          <w:szCs w:val="24"/>
        </w:rPr>
        <w:t xml:space="preserve">  </w:t>
      </w:r>
    </w:p>
    <w:p w:rsidR="00315325" w:rsidRDefault="00374A61">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Chi phí cho việc chở và tiêu hủy đồ thải một phần được thanh toán</w:t>
      </w:r>
      <w:r w:rsidR="00232CD1">
        <w:rPr>
          <w:rFonts w:ascii="Cambria" w:eastAsia="Cambria" w:hAnsi="Cambria" w:cs="Cambria"/>
          <w:sz w:val="24"/>
          <w:szCs w:val="24"/>
        </w:rPr>
        <w:t xml:space="preserve"> </w:t>
      </w:r>
      <w:r>
        <w:rPr>
          <w:rFonts w:ascii="Cambria" w:eastAsia="Cambria" w:hAnsi="Cambria" w:cs="Cambria"/>
          <w:sz w:val="24"/>
          <w:szCs w:val="24"/>
        </w:rPr>
        <w:t xml:space="preserve">bằng phụ phí do công dân đóng gốp, tại Praha </w:t>
      </w:r>
      <w:r w:rsidR="00DA1518">
        <w:rPr>
          <w:rFonts w:ascii="Cambria" w:eastAsia="Cambria" w:hAnsi="Cambria" w:cs="Cambria"/>
          <w:sz w:val="24"/>
          <w:szCs w:val="24"/>
        </w:rPr>
        <w:t>thực hiện theo thông báo số 2/2005 Sb.  Phụ phí xử lý đồ thải từ năm 2005 đến nay chưa bị tăng. Như vậy sự đóng gộp công dân đã 12 năm vẫn thế, mặc dù chi phí về chuyên chở đồ thải và tiêu hủy chúng thì càng ngày càng tăng. Các Ủy Ban cấp quận  là tổ chức được thu phụ phí đồ thải</w:t>
      </w:r>
      <w:r w:rsidR="00232CD1">
        <w:rPr>
          <w:rFonts w:ascii="Cambria" w:eastAsia="Cambria" w:hAnsi="Cambria" w:cs="Cambria"/>
          <w:sz w:val="24"/>
          <w:szCs w:val="24"/>
        </w:rPr>
        <w:t xml:space="preserve"> </w:t>
      </w:r>
      <w:r w:rsidR="00DA1518">
        <w:rPr>
          <w:rFonts w:ascii="Cambria" w:eastAsia="Cambria" w:hAnsi="Cambria" w:cs="Cambria"/>
          <w:sz w:val="24"/>
          <w:szCs w:val="24"/>
        </w:rPr>
        <w:t xml:space="preserve">và ở địa phương Praha trung bình thu được mỗi năm khoảng </w:t>
      </w:r>
      <w:r w:rsidR="007818D2">
        <w:rPr>
          <w:rFonts w:ascii="Cambria" w:eastAsia="Cambria" w:hAnsi="Cambria" w:cs="Cambria"/>
          <w:sz w:val="24"/>
          <w:szCs w:val="24"/>
        </w:rPr>
        <w:t>701 triệu Kč. Để so sánh- chuyên chở đồ thải và tiêu hủy chúng tại thủ đô Praha trong năm 2016 đã phải chi phí tổng cọng  864 triệu Kč. Như vậy việc thu phụ phí để chuyên chở và tiêu hủy đồ thải không đủ để thực hiện công việc này.</w:t>
      </w:r>
      <w:r w:rsidR="00232CD1">
        <w:rPr>
          <w:rFonts w:ascii="Cambria" w:eastAsia="Cambria" w:hAnsi="Cambria" w:cs="Cambria"/>
          <w:sz w:val="24"/>
          <w:szCs w:val="24"/>
        </w:rPr>
        <w:t xml:space="preserve">  </w:t>
      </w:r>
    </w:p>
    <w:p w:rsidR="00315325" w:rsidRDefault="007818D2">
      <w:pPr>
        <w:pStyle w:val="Normln1"/>
        <w:numPr>
          <w:ilvl w:val="0"/>
          <w:numId w:val="1"/>
        </w:numPr>
        <w:tabs>
          <w:tab w:val="left" w:pos="851"/>
        </w:tabs>
        <w:spacing w:after="280" w:line="240" w:lineRule="auto"/>
        <w:contextualSpacing/>
        <w:jc w:val="both"/>
        <w:rPr>
          <w:rFonts w:ascii="Cambria" w:eastAsia="Cambria" w:hAnsi="Cambria" w:cs="Cambria"/>
          <w:b/>
          <w:sz w:val="26"/>
          <w:szCs w:val="26"/>
        </w:rPr>
      </w:pPr>
      <w:r>
        <w:rPr>
          <w:rFonts w:ascii="Cambria" w:eastAsia="Cambria" w:hAnsi="Cambria" w:cs="Cambria"/>
          <w:b/>
          <w:sz w:val="26"/>
          <w:szCs w:val="26"/>
        </w:rPr>
        <w:t>Thu thập các đồ vậ</w:t>
      </w:r>
      <w:r w:rsidR="00A86EB4">
        <w:rPr>
          <w:rFonts w:ascii="Cambria" w:eastAsia="Cambria" w:hAnsi="Cambria" w:cs="Cambria"/>
          <w:b/>
          <w:sz w:val="26"/>
          <w:szCs w:val="26"/>
        </w:rPr>
        <w:t>t còn</w:t>
      </w:r>
      <w:r>
        <w:rPr>
          <w:rFonts w:ascii="Cambria" w:eastAsia="Cambria" w:hAnsi="Cambria" w:cs="Cambria"/>
          <w:b/>
          <w:sz w:val="26"/>
          <w:szCs w:val="26"/>
        </w:rPr>
        <w:t xml:space="preserve"> sử dụ</w:t>
      </w:r>
      <w:r w:rsidR="00A86EB4">
        <w:rPr>
          <w:rFonts w:ascii="Cambria" w:eastAsia="Cambria" w:hAnsi="Cambria" w:cs="Cambria"/>
          <w:b/>
          <w:sz w:val="26"/>
          <w:szCs w:val="26"/>
        </w:rPr>
        <w:t>ng</w:t>
      </w:r>
      <w:r>
        <w:rPr>
          <w:rFonts w:ascii="Cambria" w:eastAsia="Cambria" w:hAnsi="Cambria" w:cs="Cambria"/>
          <w:b/>
          <w:sz w:val="26"/>
          <w:szCs w:val="26"/>
        </w:rPr>
        <w:t xml:space="preserve"> </w:t>
      </w:r>
      <w:r w:rsidR="00A86EB4">
        <w:rPr>
          <w:rFonts w:ascii="Cambria" w:eastAsia="Cambria" w:hAnsi="Cambria" w:cs="Cambria"/>
          <w:b/>
          <w:sz w:val="26"/>
          <w:szCs w:val="26"/>
        </w:rPr>
        <w:t xml:space="preserve">được </w:t>
      </w:r>
      <w:r>
        <w:rPr>
          <w:rFonts w:ascii="Cambria" w:eastAsia="Cambria" w:hAnsi="Cambria" w:cs="Cambria"/>
          <w:b/>
          <w:sz w:val="26"/>
          <w:szCs w:val="26"/>
        </w:rPr>
        <w:t>(</w:t>
      </w:r>
      <w:r w:rsidR="00A86EB4">
        <w:rPr>
          <w:rFonts w:ascii="Cambria" w:eastAsia="Cambria" w:hAnsi="Cambria" w:cs="Cambria"/>
          <w:b/>
          <w:sz w:val="26"/>
          <w:szCs w:val="26"/>
        </w:rPr>
        <w:t>Thu thậ</w:t>
      </w:r>
      <w:r w:rsidR="00681380">
        <w:rPr>
          <w:rFonts w:ascii="Cambria" w:eastAsia="Cambria" w:hAnsi="Cambria" w:cs="Cambria"/>
          <w:b/>
          <w:sz w:val="26"/>
          <w:szCs w:val="26"/>
        </w:rPr>
        <w:t>p phân loại</w:t>
      </w:r>
      <w:r w:rsidR="00232CD1">
        <w:rPr>
          <w:rFonts w:ascii="Cambria" w:eastAsia="Cambria" w:hAnsi="Cambria" w:cs="Cambria"/>
          <w:b/>
          <w:sz w:val="26"/>
          <w:szCs w:val="26"/>
        </w:rPr>
        <w:t>)</w:t>
      </w:r>
    </w:p>
    <w:p w:rsidR="007818D2" w:rsidRDefault="007818D2" w:rsidP="007818D2">
      <w:pPr>
        <w:pStyle w:val="Normln1"/>
        <w:tabs>
          <w:tab w:val="left" w:pos="851"/>
        </w:tabs>
        <w:spacing w:after="280" w:line="240" w:lineRule="auto"/>
        <w:ind w:left="720"/>
        <w:contextualSpacing/>
        <w:jc w:val="both"/>
        <w:rPr>
          <w:rFonts w:ascii="Cambria" w:eastAsia="Cambria" w:hAnsi="Cambria" w:cs="Cambria"/>
          <w:b/>
          <w:sz w:val="26"/>
          <w:szCs w:val="26"/>
        </w:rPr>
      </w:pPr>
    </w:p>
    <w:p w:rsidR="00315325" w:rsidRDefault="00A86EB4">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 xml:space="preserve">Ngoài các thùng  để đựng đồ thải,trên lãnh thổ thủ do </w:t>
      </w:r>
      <w:proofErr w:type="gramStart"/>
      <w:r>
        <w:rPr>
          <w:rFonts w:ascii="Cambria" w:eastAsia="Cambria" w:hAnsi="Cambria" w:cs="Cambria"/>
          <w:sz w:val="24"/>
          <w:szCs w:val="24"/>
        </w:rPr>
        <w:t>Praha</w:t>
      </w:r>
      <w:proofErr w:type="gramEnd"/>
      <w:r>
        <w:rPr>
          <w:rFonts w:ascii="Cambria" w:eastAsia="Cambria" w:hAnsi="Cambria" w:cs="Cambria"/>
          <w:sz w:val="24"/>
          <w:szCs w:val="24"/>
        </w:rPr>
        <w:t xml:space="preserve"> còn bố trí khoảng 18 000 </w:t>
      </w:r>
      <w:r w:rsidR="00232CD1">
        <w:rPr>
          <w:rFonts w:ascii="Cambria" w:eastAsia="Cambria" w:hAnsi="Cambria" w:cs="Cambria"/>
          <w:sz w:val="24"/>
          <w:szCs w:val="24"/>
        </w:rPr>
        <w:t xml:space="preserve"> </w:t>
      </w:r>
      <w:r>
        <w:rPr>
          <w:rFonts w:ascii="Cambria" w:eastAsia="Cambria" w:hAnsi="Cambria" w:cs="Cambria"/>
          <w:sz w:val="24"/>
          <w:szCs w:val="24"/>
        </w:rPr>
        <w:t>thùng để thu nhận các đồ vật bị thải nhưng còn khả năng sử dụng tiếp như giấy,thủy tinh (màu hay trắng), nhựa, các hộp các tông bằng giấy và kim loại</w:t>
      </w:r>
      <w:r w:rsidR="00255E2A">
        <w:rPr>
          <w:rFonts w:ascii="Cambria" w:eastAsia="Cambria" w:hAnsi="Cambria" w:cs="Cambria"/>
          <w:sz w:val="24"/>
          <w:szCs w:val="24"/>
        </w:rPr>
        <w:t xml:space="preserve"> (sau đây gọi là „Trạm thu thậ</w:t>
      </w:r>
      <w:r w:rsidR="00681380">
        <w:rPr>
          <w:rFonts w:ascii="Cambria" w:eastAsia="Cambria" w:hAnsi="Cambria" w:cs="Cambria"/>
          <w:sz w:val="24"/>
          <w:szCs w:val="24"/>
        </w:rPr>
        <w:t>p úphaan loại</w:t>
      </w:r>
      <w:r w:rsidR="00255E2A">
        <w:rPr>
          <w:rFonts w:ascii="Cambria" w:eastAsia="Cambria" w:hAnsi="Cambria" w:cs="Cambria"/>
          <w:sz w:val="24"/>
          <w:szCs w:val="24"/>
        </w:rPr>
        <w:t>“). Tại Praha có đặt các trạm này trên mặt đất và cả dưới hầm với các thùng có thể tích từ 120 – 4000 lít.</w:t>
      </w:r>
      <w:r w:rsidR="00232CD1">
        <w:rPr>
          <w:rFonts w:ascii="Cambria" w:eastAsia="Cambria" w:hAnsi="Cambria" w:cs="Cambria"/>
          <w:sz w:val="24"/>
          <w:szCs w:val="24"/>
        </w:rPr>
        <w:t xml:space="preserve"> </w:t>
      </w:r>
    </w:p>
    <w:p w:rsidR="00315325" w:rsidRDefault="00255E2A">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Việc lập các trạm thực hiện thu thậ</w:t>
      </w:r>
      <w:r w:rsidR="00681380">
        <w:rPr>
          <w:rFonts w:ascii="Cambria" w:eastAsia="Cambria" w:hAnsi="Cambria" w:cs="Cambria"/>
          <w:sz w:val="24"/>
          <w:szCs w:val="24"/>
        </w:rPr>
        <w:t>p phân loại</w:t>
      </w:r>
      <w:r>
        <w:rPr>
          <w:rFonts w:ascii="Cambria" w:eastAsia="Cambria" w:hAnsi="Cambria" w:cs="Cambria"/>
          <w:sz w:val="24"/>
          <w:szCs w:val="24"/>
        </w:rPr>
        <w:t xml:space="preserve"> và bố </w:t>
      </w:r>
      <w:r w:rsidR="00681380">
        <w:rPr>
          <w:rFonts w:ascii="Cambria" w:eastAsia="Cambria" w:hAnsi="Cambria" w:cs="Cambria"/>
          <w:sz w:val="24"/>
          <w:szCs w:val="24"/>
        </w:rPr>
        <w:t xml:space="preserve">trí </w:t>
      </w:r>
      <w:r>
        <w:rPr>
          <w:rFonts w:ascii="Cambria" w:eastAsia="Cambria" w:hAnsi="Cambria" w:cs="Cambria"/>
          <w:sz w:val="24"/>
          <w:szCs w:val="24"/>
        </w:rPr>
        <w:t xml:space="preserve">chúng tại đâu là thuộc thẩm quyền của Ủy Ban </w:t>
      </w:r>
      <w:r w:rsidR="00681380">
        <w:rPr>
          <w:rFonts w:ascii="Cambria" w:eastAsia="Cambria" w:hAnsi="Cambria" w:cs="Cambria"/>
          <w:sz w:val="24"/>
          <w:szCs w:val="24"/>
        </w:rPr>
        <w:t xml:space="preserve">các </w:t>
      </w:r>
      <w:r>
        <w:rPr>
          <w:rFonts w:ascii="Cambria" w:eastAsia="Cambria" w:hAnsi="Cambria" w:cs="Cambria"/>
          <w:sz w:val="24"/>
          <w:szCs w:val="24"/>
        </w:rPr>
        <w:t>quận 1 đến 57. Ngoài các thùng thu thậ</w:t>
      </w:r>
      <w:r w:rsidR="00681380">
        <w:rPr>
          <w:rFonts w:ascii="Cambria" w:eastAsia="Cambria" w:hAnsi="Cambria" w:cs="Cambria"/>
          <w:sz w:val="24"/>
          <w:szCs w:val="24"/>
        </w:rPr>
        <w:t>p phân loại</w:t>
      </w:r>
      <w:r>
        <w:rPr>
          <w:rFonts w:ascii="Cambria" w:eastAsia="Cambria" w:hAnsi="Cambria" w:cs="Cambria"/>
          <w:sz w:val="24"/>
          <w:szCs w:val="24"/>
        </w:rPr>
        <w:t xml:space="preserve"> đặt trong hầm,tất cả các thùng thu thậ</w:t>
      </w:r>
      <w:r w:rsidR="00681380">
        <w:rPr>
          <w:rFonts w:ascii="Cambria" w:eastAsia="Cambria" w:hAnsi="Cambria" w:cs="Cambria"/>
          <w:sz w:val="24"/>
          <w:szCs w:val="24"/>
        </w:rPr>
        <w:t>p phân loại</w:t>
      </w:r>
      <w:r>
        <w:rPr>
          <w:rFonts w:ascii="Cambria" w:eastAsia="Cambria" w:hAnsi="Cambria" w:cs="Cambria"/>
          <w:sz w:val="24"/>
          <w:szCs w:val="24"/>
        </w:rPr>
        <w:t xml:space="preserve"> khác là tài sản củ</w:t>
      </w:r>
      <w:r w:rsidR="00882627">
        <w:rPr>
          <w:rFonts w:ascii="Cambria" w:eastAsia="Cambria" w:hAnsi="Cambria" w:cs="Cambria"/>
          <w:sz w:val="24"/>
          <w:szCs w:val="24"/>
        </w:rPr>
        <w:t>a các đơn vị chuyên chở đồ thải. Chu kỳ chở thùng đi thường là từ thấp nhất (1 lần sau 6 tuần – đối với các thùng thu thủy tinh và bao bì kim loại) đến cao nhất : 7 lần trong một tuần (chủ yếu các thùng thu giấy và nhựa</w:t>
      </w:r>
      <w:r w:rsidR="00DA1518">
        <w:rPr>
          <w:rFonts w:ascii="Cambria" w:eastAsia="Cambria" w:hAnsi="Cambria" w:cs="Cambria"/>
          <w:sz w:val="24"/>
          <w:szCs w:val="24"/>
        </w:rPr>
        <w:t>).</w:t>
      </w:r>
    </w:p>
    <w:p w:rsidR="00315325" w:rsidRDefault="00882627" w:rsidP="00CE68FD">
      <w:pPr>
        <w:pStyle w:val="Normln1"/>
        <w:tabs>
          <w:tab w:val="left" w:pos="851"/>
        </w:tabs>
        <w:spacing w:after="280" w:line="240" w:lineRule="auto"/>
        <w:jc w:val="both"/>
        <w:rPr>
          <w:rFonts w:ascii="Cambria" w:eastAsia="Cambria" w:hAnsi="Cambria" w:cs="Cambria"/>
          <w:b/>
          <w:sz w:val="24"/>
          <w:szCs w:val="24"/>
        </w:rPr>
      </w:pPr>
      <w:r>
        <w:rPr>
          <w:rFonts w:ascii="Cambria" w:eastAsia="Cambria" w:hAnsi="Cambria" w:cs="Cambria"/>
          <w:b/>
          <w:sz w:val="24"/>
          <w:szCs w:val="24"/>
        </w:rPr>
        <w:lastRenderedPageBreak/>
        <w:t>Câu hỏi</w:t>
      </w:r>
      <w:r w:rsidR="00232CD1">
        <w:rPr>
          <w:rFonts w:ascii="Cambria" w:eastAsia="Cambria" w:hAnsi="Cambria" w:cs="Cambria"/>
          <w:b/>
          <w:sz w:val="24"/>
          <w:szCs w:val="24"/>
        </w:rPr>
        <w:t xml:space="preserve">: </w:t>
      </w:r>
      <w:r>
        <w:rPr>
          <w:rFonts w:ascii="Cambria" w:eastAsia="Cambria" w:hAnsi="Cambria" w:cs="Cambria"/>
          <w:b/>
          <w:sz w:val="24"/>
          <w:szCs w:val="24"/>
        </w:rPr>
        <w:t>Các đơn vị chuyên chở các thùng ở trạm thu thậ</w:t>
      </w:r>
      <w:r w:rsidR="00681380">
        <w:rPr>
          <w:rFonts w:ascii="Cambria" w:eastAsia="Cambria" w:hAnsi="Cambria" w:cs="Cambria"/>
          <w:b/>
          <w:sz w:val="24"/>
          <w:szCs w:val="24"/>
        </w:rPr>
        <w:t>p phân loại</w:t>
      </w:r>
      <w:r>
        <w:rPr>
          <w:rFonts w:ascii="Cambria" w:eastAsia="Cambria" w:hAnsi="Cambria" w:cs="Cambria"/>
          <w:b/>
          <w:sz w:val="24"/>
          <w:szCs w:val="24"/>
        </w:rPr>
        <w:t xml:space="preserve"> có trách nhiệm giữ sạ</w:t>
      </w:r>
      <w:r w:rsidR="00592D29">
        <w:rPr>
          <w:rFonts w:ascii="Cambria" w:eastAsia="Cambria" w:hAnsi="Cambria" w:cs="Cambria"/>
          <w:b/>
          <w:sz w:val="24"/>
          <w:szCs w:val="24"/>
        </w:rPr>
        <w:t>ch</w:t>
      </w:r>
      <w:r>
        <w:rPr>
          <w:rFonts w:ascii="Cambria" w:eastAsia="Cambria" w:hAnsi="Cambria" w:cs="Cambria"/>
          <w:b/>
          <w:sz w:val="24"/>
          <w:szCs w:val="24"/>
        </w:rPr>
        <w:t xml:space="preserve"> </w:t>
      </w:r>
      <w:r w:rsidR="00592D29">
        <w:rPr>
          <w:rFonts w:ascii="Cambria" w:eastAsia="Cambria" w:hAnsi="Cambria" w:cs="Cambria"/>
          <w:b/>
          <w:sz w:val="24"/>
          <w:szCs w:val="24"/>
        </w:rPr>
        <w:t xml:space="preserve">và thường xuyên dọn dẹp các trạm này hay không </w:t>
      </w:r>
      <w:r w:rsidR="00232CD1">
        <w:rPr>
          <w:rFonts w:ascii="Cambria" w:eastAsia="Cambria" w:hAnsi="Cambria" w:cs="Cambria"/>
          <w:b/>
          <w:sz w:val="24"/>
          <w:szCs w:val="24"/>
        </w:rPr>
        <w:t xml:space="preserve">?  </w:t>
      </w:r>
    </w:p>
    <w:p w:rsidR="00E441FF" w:rsidRDefault="00592D29" w:rsidP="00CE68FD">
      <w:pPr>
        <w:pStyle w:val="Normln1"/>
        <w:tabs>
          <w:tab w:val="left" w:pos="851"/>
        </w:tabs>
        <w:spacing w:after="280" w:line="240" w:lineRule="auto"/>
        <w:jc w:val="both"/>
        <w:rPr>
          <w:rFonts w:ascii="Cambria" w:eastAsia="Cambria" w:hAnsi="Cambria" w:cs="Cambria"/>
          <w:b/>
          <w:sz w:val="24"/>
          <w:szCs w:val="24"/>
        </w:rPr>
      </w:pPr>
      <w:bookmarkStart w:id="0" w:name="_gjdgxs" w:colFirst="0" w:colLast="0"/>
      <w:bookmarkEnd w:id="0"/>
      <w:r>
        <w:rPr>
          <w:rFonts w:ascii="Cambria" w:eastAsia="Cambria" w:hAnsi="Cambria" w:cs="Cambria"/>
          <w:b/>
          <w:sz w:val="24"/>
          <w:szCs w:val="24"/>
        </w:rPr>
        <w:t>Câu trả lời: Có.</w:t>
      </w:r>
      <w:r w:rsidR="00C33DF1">
        <w:rPr>
          <w:rFonts w:ascii="Cambria" w:eastAsia="Cambria" w:hAnsi="Cambria" w:cs="Cambria"/>
          <w:b/>
          <w:sz w:val="24"/>
          <w:szCs w:val="24"/>
        </w:rPr>
        <w:t xml:space="preserve"> Đơn vị có thùng đặt tại các trạm thu thậ</w:t>
      </w:r>
      <w:r w:rsidR="00681380">
        <w:rPr>
          <w:rFonts w:ascii="Cambria" w:eastAsia="Cambria" w:hAnsi="Cambria" w:cs="Cambria"/>
          <w:b/>
          <w:sz w:val="24"/>
          <w:szCs w:val="24"/>
        </w:rPr>
        <w:t>p phân loại</w:t>
      </w:r>
      <w:r w:rsidR="00C33DF1">
        <w:rPr>
          <w:rFonts w:ascii="Cambria" w:eastAsia="Cambria" w:hAnsi="Cambria" w:cs="Cambria"/>
          <w:b/>
          <w:sz w:val="24"/>
          <w:szCs w:val="24"/>
        </w:rPr>
        <w:t xml:space="preserve"> có trách nhiệm dọn dẹp trạm ít nhất 2 lần trong một tuần và nhiều nhất là  7 lần trong một tuần,có khi phải dọn  5 lần trong một ngày</w:t>
      </w:r>
      <w:r w:rsidR="00232CD1">
        <w:rPr>
          <w:rFonts w:ascii="Cambria" w:eastAsia="Cambria" w:hAnsi="Cambria" w:cs="Cambria"/>
          <w:b/>
          <w:sz w:val="24"/>
          <w:szCs w:val="24"/>
        </w:rPr>
        <w:t xml:space="preserve"> </w:t>
      </w:r>
      <w:r w:rsidR="00C33DF1">
        <w:rPr>
          <w:rFonts w:ascii="Cambria" w:eastAsia="Cambria" w:hAnsi="Cambria" w:cs="Cambria"/>
          <w:b/>
          <w:sz w:val="24"/>
          <w:szCs w:val="24"/>
        </w:rPr>
        <w:t>(ví dụ như trạm đặt ở trung tâm  thành phố và các nơi có du khách thường đến thăm). Trạm phải được dọ</w:t>
      </w:r>
      <w:r w:rsidR="00681380">
        <w:rPr>
          <w:rFonts w:ascii="Cambria" w:eastAsia="Cambria" w:hAnsi="Cambria" w:cs="Cambria"/>
          <w:b/>
          <w:sz w:val="24"/>
          <w:szCs w:val="24"/>
        </w:rPr>
        <w:t>n dẹp</w:t>
      </w:r>
      <w:r w:rsidR="00C33DF1">
        <w:rPr>
          <w:rFonts w:ascii="Cambria" w:eastAsia="Cambria" w:hAnsi="Cambria" w:cs="Cambria"/>
          <w:b/>
          <w:sz w:val="24"/>
          <w:szCs w:val="24"/>
        </w:rPr>
        <w:t xml:space="preserve"> 3 mết về tất cả</w:t>
      </w:r>
      <w:r w:rsidR="00C118CF">
        <w:rPr>
          <w:rFonts w:ascii="Cambria" w:eastAsia="Cambria" w:hAnsi="Cambria" w:cs="Cambria"/>
          <w:b/>
          <w:sz w:val="24"/>
          <w:szCs w:val="24"/>
        </w:rPr>
        <w:t xml:space="preserve"> các phía và phải quét sạch cách trạm 2 mét về tất cả các phía. Cần phải lưu ý là việc dọn dẹp ở các trạm thu thập</w:t>
      </w:r>
      <w:r w:rsidR="00681380">
        <w:rPr>
          <w:rFonts w:ascii="Cambria" w:eastAsia="Cambria" w:hAnsi="Cambria" w:cs="Cambria"/>
          <w:b/>
          <w:sz w:val="24"/>
          <w:szCs w:val="24"/>
        </w:rPr>
        <w:t xml:space="preserve"> phân loại</w:t>
      </w:r>
      <w:r w:rsidR="00C118CF">
        <w:rPr>
          <w:rFonts w:ascii="Cambria" w:eastAsia="Cambria" w:hAnsi="Cambria" w:cs="Cambria"/>
          <w:b/>
          <w:sz w:val="24"/>
          <w:szCs w:val="24"/>
        </w:rPr>
        <w:t xml:space="preserve"> được thực hiện trên cơ sở kế hoạch khác với kế hoạch chở đồ vật đã thu ở các trạm này và cũng do các xe cộ khác thực hiện</w:t>
      </w:r>
      <w:r w:rsidR="00232CD1">
        <w:rPr>
          <w:rFonts w:ascii="Cambria" w:eastAsia="Cambria" w:hAnsi="Cambria" w:cs="Cambria"/>
          <w:b/>
          <w:sz w:val="24"/>
          <w:szCs w:val="24"/>
        </w:rPr>
        <w:t xml:space="preserve">. </w:t>
      </w:r>
      <w:r w:rsidR="00C118CF">
        <w:rPr>
          <w:rFonts w:ascii="Cambria" w:eastAsia="Cambria" w:hAnsi="Cambria" w:cs="Cambria"/>
          <w:b/>
          <w:sz w:val="24"/>
          <w:szCs w:val="24"/>
        </w:rPr>
        <w:t>Trong trường hợp phát hiện ra là các thùng ở các trạm thu nhậ</w:t>
      </w:r>
      <w:r w:rsidR="00681380">
        <w:rPr>
          <w:rFonts w:ascii="Cambria" w:eastAsia="Cambria" w:hAnsi="Cambria" w:cs="Cambria"/>
          <w:b/>
          <w:sz w:val="24"/>
          <w:szCs w:val="24"/>
        </w:rPr>
        <w:t>n phân loại</w:t>
      </w:r>
      <w:r w:rsidR="00C118CF">
        <w:rPr>
          <w:rFonts w:ascii="Cambria" w:eastAsia="Cambria" w:hAnsi="Cambria" w:cs="Cambria"/>
          <w:b/>
          <w:sz w:val="24"/>
          <w:szCs w:val="24"/>
        </w:rPr>
        <w:t xml:space="preserve"> không đủ thể tích để chứa đồ thải còn dùng tiếp được hay chu kỳ chở thùng đi quá dài </w:t>
      </w:r>
      <w:r w:rsidR="00CE68FD">
        <w:rPr>
          <w:rFonts w:ascii="Cambria" w:eastAsia="Cambria" w:hAnsi="Cambria" w:cs="Cambria"/>
          <w:b/>
          <w:sz w:val="24"/>
          <w:szCs w:val="24"/>
        </w:rPr>
        <w:t>thì</w:t>
      </w:r>
      <w:r w:rsidR="00C118CF">
        <w:rPr>
          <w:rFonts w:ascii="Cambria" w:eastAsia="Cambria" w:hAnsi="Cambria" w:cs="Cambria"/>
          <w:b/>
          <w:sz w:val="24"/>
          <w:szCs w:val="24"/>
        </w:rPr>
        <w:t xml:space="preserve"> cần phải báo</w:t>
      </w:r>
      <w:r w:rsidR="00CE68FD">
        <w:rPr>
          <w:rFonts w:ascii="Cambria" w:eastAsia="Cambria" w:hAnsi="Cambria" w:cs="Cambria"/>
          <w:b/>
          <w:sz w:val="24"/>
          <w:szCs w:val="24"/>
        </w:rPr>
        <w:t xml:space="preserve"> cho Vụ môi trường của Ủy Ban các quận Praha 1 đến 57 và khi về phía cơ quan quản lý môi trường ở quận liên quan đã xác nhận thì sẽ rút ngắn chu kỳ chở các thùng đó đi.</w:t>
      </w:r>
      <w:r w:rsidR="00232CD1">
        <w:rPr>
          <w:rFonts w:ascii="Cambria" w:eastAsia="Cambria" w:hAnsi="Cambria" w:cs="Cambria"/>
          <w:b/>
          <w:sz w:val="24"/>
          <w:szCs w:val="24"/>
        </w:rPr>
        <w:t xml:space="preserve"> </w:t>
      </w:r>
    </w:p>
    <w:p w:rsidR="00315325" w:rsidRDefault="00CE68FD" w:rsidP="00CE68FD">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Tất cả các chi phí cho việc chở đi và dọn dẹp các trạm thu thậ</w:t>
      </w:r>
      <w:r w:rsidR="00681380">
        <w:rPr>
          <w:rFonts w:ascii="Cambria" w:eastAsia="Cambria" w:hAnsi="Cambria" w:cs="Cambria"/>
          <w:sz w:val="24"/>
          <w:szCs w:val="24"/>
        </w:rPr>
        <w:t>p phân loại</w:t>
      </w:r>
      <w:r>
        <w:rPr>
          <w:rFonts w:ascii="Cambria" w:eastAsia="Cambria" w:hAnsi="Cambria" w:cs="Cambria"/>
          <w:sz w:val="24"/>
          <w:szCs w:val="24"/>
        </w:rPr>
        <w:t xml:space="preserve"> do ngân sách thành phố chi,</w:t>
      </w:r>
      <w:r w:rsidR="00232CD1">
        <w:rPr>
          <w:rFonts w:ascii="Cambria" w:eastAsia="Cambria" w:hAnsi="Cambria" w:cs="Cambria"/>
          <w:sz w:val="24"/>
          <w:szCs w:val="24"/>
        </w:rPr>
        <w:t xml:space="preserve"> </w:t>
      </w:r>
      <w:r>
        <w:rPr>
          <w:rFonts w:ascii="Cambria" w:eastAsia="Cambria" w:hAnsi="Cambria" w:cs="Cambria"/>
          <w:sz w:val="24"/>
          <w:szCs w:val="24"/>
        </w:rPr>
        <w:t>ví dụ trong năm 2016 thành phố đã chi cho việc chở thùng đi và dọn dẹp ở các trạm</w:t>
      </w:r>
      <w:r w:rsidR="00681380">
        <w:rPr>
          <w:rFonts w:ascii="Cambria" w:eastAsia="Cambria" w:hAnsi="Cambria" w:cs="Cambria"/>
          <w:sz w:val="24"/>
          <w:szCs w:val="24"/>
        </w:rPr>
        <w:t xml:space="preserve"> loại này</w:t>
      </w:r>
      <w:r>
        <w:rPr>
          <w:rFonts w:ascii="Cambria" w:eastAsia="Cambria" w:hAnsi="Cambria" w:cs="Cambria"/>
          <w:sz w:val="24"/>
          <w:szCs w:val="24"/>
        </w:rPr>
        <w:t xml:space="preserve"> với giá trị tổng cọng 365 triệu Kč. Trong đó chỉ riêng việc dọn dẹp </w:t>
      </w:r>
      <w:r w:rsidR="00585BB3">
        <w:rPr>
          <w:rFonts w:ascii="Cambria" w:eastAsia="Cambria" w:hAnsi="Cambria" w:cs="Cambria"/>
          <w:sz w:val="24"/>
          <w:szCs w:val="24"/>
        </w:rPr>
        <w:t>giữ về sinh ở các trạm hằng năm thành phố đã phải chi khoảng 50 triệu Kč. Mỗi năm việc dọn dẹp ở các trạm thu thậ</w:t>
      </w:r>
      <w:r w:rsidR="00681380">
        <w:rPr>
          <w:rFonts w:ascii="Cambria" w:eastAsia="Cambria" w:hAnsi="Cambria" w:cs="Cambria"/>
          <w:sz w:val="24"/>
          <w:szCs w:val="24"/>
        </w:rPr>
        <w:t xml:space="preserve">p phân loại đã thu </w:t>
      </w:r>
      <w:r w:rsidR="00585BB3">
        <w:rPr>
          <w:rFonts w:ascii="Cambria" w:eastAsia="Cambria" w:hAnsi="Cambria" w:cs="Cambria"/>
          <w:sz w:val="24"/>
          <w:szCs w:val="24"/>
        </w:rPr>
        <w:t>khoảng 7 000 tấn đồ thải.</w:t>
      </w:r>
    </w:p>
    <w:p w:rsidR="00315325" w:rsidRDefault="00585BB3" w:rsidP="00CE68FD">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Rất tiếc là các trạm thu thậ</w:t>
      </w:r>
      <w:r w:rsidR="00681380">
        <w:rPr>
          <w:rFonts w:ascii="Cambria" w:eastAsia="Cambria" w:hAnsi="Cambria" w:cs="Cambria"/>
          <w:sz w:val="24"/>
          <w:szCs w:val="24"/>
        </w:rPr>
        <w:t xml:space="preserve">p phân loại </w:t>
      </w:r>
      <w:r>
        <w:rPr>
          <w:rFonts w:ascii="Cambria" w:eastAsia="Cambria" w:hAnsi="Cambria" w:cs="Cambria"/>
          <w:sz w:val="24"/>
          <w:szCs w:val="24"/>
        </w:rPr>
        <w:t xml:space="preserve"> </w:t>
      </w:r>
      <w:r w:rsidR="00681380">
        <w:rPr>
          <w:rFonts w:ascii="Cambria" w:eastAsia="Cambria" w:hAnsi="Cambria" w:cs="Cambria"/>
          <w:sz w:val="24"/>
          <w:szCs w:val="24"/>
        </w:rPr>
        <w:t>t</w:t>
      </w:r>
      <w:r>
        <w:rPr>
          <w:rFonts w:ascii="Cambria" w:eastAsia="Cambria" w:hAnsi="Cambria" w:cs="Cambria"/>
          <w:sz w:val="24"/>
          <w:szCs w:val="24"/>
        </w:rPr>
        <w:t>hường bị lợi dụng để bỏ đồ thải,nhất là ở các trạm đặt trong trung tâm thủ đô thừng bị các hiệu ăn,quày bar làm nơi đổ đồ thải mà sau đó  thành phố phải bỏ chi phí ra để dọn dẹp</w:t>
      </w:r>
      <w:r w:rsidR="00383B78">
        <w:rPr>
          <w:rFonts w:ascii="Cambria" w:eastAsia="Cambria" w:hAnsi="Cambria" w:cs="Cambria"/>
          <w:sz w:val="24"/>
          <w:szCs w:val="24"/>
        </w:rPr>
        <w:t xml:space="preserve"> (xem hình số 2). Cho nên hiện nay các đơn vị và cá nhân kinh doanh cá thể không được phép sử dụng các trạm thu hồi đồ thải còn dùng tiếp được,các trạm này chỉ phục vụ công dân.</w:t>
      </w:r>
    </w:p>
    <w:p w:rsidR="00120F0B" w:rsidRDefault="00383B78" w:rsidP="00CE68FD">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Hình số 2: Tình trạng các thùng chứa ở trạm thu thậ</w:t>
      </w:r>
      <w:r w:rsidR="00681380">
        <w:rPr>
          <w:rFonts w:ascii="Cambria" w:eastAsia="Cambria" w:hAnsi="Cambria" w:cs="Cambria"/>
          <w:sz w:val="24"/>
          <w:szCs w:val="24"/>
        </w:rPr>
        <w:t>p phân loại</w:t>
      </w:r>
      <w:r>
        <w:rPr>
          <w:rFonts w:ascii="Cambria" w:eastAsia="Cambria" w:hAnsi="Cambria" w:cs="Cambria"/>
          <w:sz w:val="24"/>
          <w:szCs w:val="24"/>
        </w:rPr>
        <w:t xml:space="preserve"> đặt dưới hầm ở Praha</w:t>
      </w:r>
      <w:r w:rsidR="00232CD1">
        <w:rPr>
          <w:rFonts w:ascii="Cambria" w:eastAsia="Cambria" w:hAnsi="Cambria" w:cs="Cambria"/>
          <w:sz w:val="24"/>
          <w:szCs w:val="24"/>
        </w:rPr>
        <w:t xml:space="preserve"> 1</w:t>
      </w:r>
    </w:p>
    <w:p w:rsidR="00120F0B" w:rsidRDefault="00120F0B" w:rsidP="00CE68FD">
      <w:pPr>
        <w:pStyle w:val="Normln1"/>
        <w:tabs>
          <w:tab w:val="left" w:pos="851"/>
        </w:tabs>
        <w:spacing w:after="280" w:line="240" w:lineRule="auto"/>
        <w:jc w:val="both"/>
        <w:rPr>
          <w:rFonts w:ascii="Cambria" w:eastAsia="Cambria" w:hAnsi="Cambria" w:cs="Cambria"/>
          <w:sz w:val="24"/>
          <w:szCs w:val="24"/>
        </w:rPr>
      </w:pPr>
    </w:p>
    <w:p w:rsidR="00E441FF" w:rsidRDefault="00232CD1">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noProof/>
          <w:sz w:val="24"/>
          <w:szCs w:val="24"/>
        </w:rPr>
        <w:drawing>
          <wp:inline distT="0" distB="0" distL="0" distR="0">
            <wp:extent cx="5760720" cy="3240405"/>
            <wp:effectExtent l="0" t="0" r="0" b="0"/>
            <wp:docPr id="4" name="image9.jpg" descr="C:\Users\m000xm2032\Documents\Dokumenty\Provoz oddělení 2017\Příklady separace a směs\Podzemní kontejnery.jpg"/>
            <wp:cNvGraphicFramePr/>
            <a:graphic xmlns:a="http://schemas.openxmlformats.org/drawingml/2006/main">
              <a:graphicData uri="http://schemas.openxmlformats.org/drawingml/2006/picture">
                <pic:pic xmlns:pic="http://schemas.openxmlformats.org/drawingml/2006/picture">
                  <pic:nvPicPr>
                    <pic:cNvPr id="0" name="image9.jpg" descr="C:\Users\m000xm2032\Documents\Dokumenty\Provoz oddělení 2017\Příklady separace a směs\Podzemní kontejnery.jpg"/>
                    <pic:cNvPicPr preferRelativeResize="0"/>
                  </pic:nvPicPr>
                  <pic:blipFill>
                    <a:blip r:embed="rId7" cstate="print"/>
                    <a:srcRect/>
                    <a:stretch>
                      <a:fillRect/>
                    </a:stretch>
                  </pic:blipFill>
                  <pic:spPr>
                    <a:xfrm>
                      <a:off x="0" y="0"/>
                      <a:ext cx="5760720" cy="3240405"/>
                    </a:xfrm>
                    <a:prstGeom prst="rect">
                      <a:avLst/>
                    </a:prstGeom>
                    <a:ln/>
                  </pic:spPr>
                </pic:pic>
              </a:graphicData>
            </a:graphic>
          </wp:inline>
        </w:drawing>
      </w:r>
    </w:p>
    <w:p w:rsidR="00315325" w:rsidRDefault="00681380">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lastRenderedPageBreak/>
        <w:t xml:space="preserve">Ngoài ra các công dân còn có thể sử dụng mạng lưới mấy chục bãi thu thập đồ thải trên lãnh thổ thủ </w:t>
      </w:r>
      <w:r w:rsidR="00120F0B">
        <w:rPr>
          <w:rFonts w:ascii="Cambria" w:eastAsia="Cambria" w:hAnsi="Cambria" w:cs="Cambria"/>
          <w:sz w:val="24"/>
          <w:szCs w:val="24"/>
        </w:rPr>
        <w:t>đô</w:t>
      </w:r>
      <w:r>
        <w:rPr>
          <w:rFonts w:ascii="Cambria" w:eastAsia="Cambria" w:hAnsi="Cambria" w:cs="Cambria"/>
          <w:sz w:val="24"/>
          <w:szCs w:val="24"/>
        </w:rPr>
        <w:t xml:space="preserve"> Praha để xử lý đồ thả</w:t>
      </w:r>
      <w:r w:rsidR="00120F0B">
        <w:rPr>
          <w:rFonts w:ascii="Cambria" w:eastAsia="Cambria" w:hAnsi="Cambria" w:cs="Cambria"/>
          <w:sz w:val="24"/>
          <w:szCs w:val="24"/>
        </w:rPr>
        <w:t>i. Công dân không phải trả tiền cho việc thanh lý đồ thải và có thể tìm danh mục bãi thu nhận đồ thải trên trang</w:t>
      </w:r>
      <w:r w:rsidR="00232CD1">
        <w:rPr>
          <w:rFonts w:ascii="Cambria" w:eastAsia="Cambria" w:hAnsi="Cambria" w:cs="Cambria"/>
          <w:sz w:val="24"/>
          <w:szCs w:val="24"/>
        </w:rPr>
        <w:t xml:space="preserve"> www.</w:t>
      </w:r>
      <w:r w:rsidR="00120F0B">
        <w:rPr>
          <w:rFonts w:ascii="Cambria" w:eastAsia="Cambria" w:hAnsi="Cambria" w:cs="Cambria"/>
          <w:sz w:val="24"/>
          <w:szCs w:val="24"/>
        </w:rPr>
        <w:t xml:space="preserve">portalzp.praha.eu. (trang thông tin của cơ quan quản lý môi trường  thủ do </w:t>
      </w:r>
      <w:proofErr w:type="gramStart"/>
      <w:r w:rsidR="00120F0B">
        <w:rPr>
          <w:rFonts w:ascii="Cambria" w:eastAsia="Cambria" w:hAnsi="Cambria" w:cs="Cambria"/>
          <w:sz w:val="24"/>
          <w:szCs w:val="24"/>
        </w:rPr>
        <w:t>Praha</w:t>
      </w:r>
      <w:proofErr w:type="gramEnd"/>
      <w:r w:rsidR="00232CD1">
        <w:rPr>
          <w:rFonts w:ascii="Cambria" w:eastAsia="Cambria" w:hAnsi="Cambria" w:cs="Cambria"/>
          <w:sz w:val="24"/>
          <w:szCs w:val="24"/>
        </w:rPr>
        <w:t>).</w:t>
      </w:r>
    </w:p>
    <w:p w:rsidR="00315325" w:rsidRDefault="00120F0B">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Hình số  3. Đường vào bãi thu đồ thải ở đường Podnikatelská, Praha</w:t>
      </w:r>
      <w:r w:rsidR="00232CD1">
        <w:rPr>
          <w:rFonts w:ascii="Cambria" w:eastAsia="Cambria" w:hAnsi="Cambria" w:cs="Cambria"/>
          <w:sz w:val="24"/>
          <w:szCs w:val="24"/>
        </w:rPr>
        <w:t xml:space="preserve"> - Běchovic</w:t>
      </w:r>
      <w:r>
        <w:rPr>
          <w:rFonts w:ascii="Cambria" w:eastAsia="Cambria" w:hAnsi="Cambria" w:cs="Cambria"/>
          <w:sz w:val="24"/>
          <w:szCs w:val="24"/>
        </w:rPr>
        <w:t>e</w:t>
      </w:r>
      <w:r w:rsidR="00232CD1">
        <w:rPr>
          <w:noProof/>
        </w:rPr>
        <w:drawing>
          <wp:anchor distT="0" distB="0" distL="114300" distR="114300" simplePos="0" relativeHeight="251658240" behindDoc="0" locked="0" layoutInCell="1" allowOverlap="1">
            <wp:simplePos x="0" y="0"/>
            <wp:positionH relativeFrom="margin">
              <wp:posOffset>33655</wp:posOffset>
            </wp:positionH>
            <wp:positionV relativeFrom="paragraph">
              <wp:posOffset>1129030</wp:posOffset>
            </wp:positionV>
            <wp:extent cx="5638800" cy="3533775"/>
            <wp:effectExtent l="0" t="0" r="0" b="0"/>
            <wp:wrapSquare wrapText="bothSides" distT="0" distB="0" distL="114300" distR="114300"/>
            <wp:docPr id="1" name="image3.jpg" descr="C:\Users\m000xz004565\Desktop\mix\fotky\sběrné dvory\fotky SD výběr\článek\IMG_20150414_101942.jpg"/>
            <wp:cNvGraphicFramePr/>
            <a:graphic xmlns:a="http://schemas.openxmlformats.org/drawingml/2006/main">
              <a:graphicData uri="http://schemas.openxmlformats.org/drawingml/2006/picture">
                <pic:pic xmlns:pic="http://schemas.openxmlformats.org/drawingml/2006/picture">
                  <pic:nvPicPr>
                    <pic:cNvPr id="0" name="image3.jpg" descr="C:\Users\m000xz004565\Desktop\mix\fotky\sběrné dvory\fotky SD výběr\článek\IMG_20150414_101942.jpg"/>
                    <pic:cNvPicPr preferRelativeResize="0"/>
                  </pic:nvPicPr>
                  <pic:blipFill>
                    <a:blip r:embed="rId8" cstate="print"/>
                    <a:srcRect/>
                    <a:stretch>
                      <a:fillRect/>
                    </a:stretch>
                  </pic:blipFill>
                  <pic:spPr>
                    <a:xfrm>
                      <a:off x="0" y="0"/>
                      <a:ext cx="5638800" cy="3533775"/>
                    </a:xfrm>
                    <a:prstGeom prst="rect">
                      <a:avLst/>
                    </a:prstGeom>
                    <a:ln/>
                  </pic:spPr>
                </pic:pic>
              </a:graphicData>
            </a:graphic>
          </wp:anchor>
        </w:drawing>
      </w:r>
      <w:r w:rsidR="00232CD1">
        <w:rPr>
          <w:noProof/>
        </w:rPr>
        <w:drawing>
          <wp:anchor distT="0" distB="0" distL="114300" distR="114300" simplePos="0" relativeHeight="251659264" behindDoc="0" locked="0" layoutInCell="1" allowOverlap="1">
            <wp:simplePos x="0" y="0"/>
            <wp:positionH relativeFrom="margin">
              <wp:posOffset>-42544</wp:posOffset>
            </wp:positionH>
            <wp:positionV relativeFrom="paragraph">
              <wp:posOffset>5443855</wp:posOffset>
            </wp:positionV>
            <wp:extent cx="4562475" cy="3028950"/>
            <wp:effectExtent l="0" t="0" r="0" b="0"/>
            <wp:wrapSquare wrapText="bothSides" distT="0" distB="0" distL="114300" distR="114300"/>
            <wp:docPr id="2" name="image5.jpg" descr="C:\Users\m000xz004565\Desktop\mix\fotky\sběrné dvory\fotky SD výběr\článek\IMG_20150216_110201.jpg"/>
            <wp:cNvGraphicFramePr/>
            <a:graphic xmlns:a="http://schemas.openxmlformats.org/drawingml/2006/main">
              <a:graphicData uri="http://schemas.openxmlformats.org/drawingml/2006/picture">
                <pic:pic xmlns:pic="http://schemas.openxmlformats.org/drawingml/2006/picture">
                  <pic:nvPicPr>
                    <pic:cNvPr id="0" name="image5.jpg" descr="C:\Users\m000xz004565\Desktop\mix\fotky\sběrné dvory\fotky SD výběr\článek\IMG_20150216_110201.jpg"/>
                    <pic:cNvPicPr preferRelativeResize="0"/>
                  </pic:nvPicPr>
                  <pic:blipFill>
                    <a:blip r:embed="rId9" cstate="print"/>
                    <a:srcRect/>
                    <a:stretch>
                      <a:fillRect/>
                    </a:stretch>
                  </pic:blipFill>
                  <pic:spPr>
                    <a:xfrm>
                      <a:off x="0" y="0"/>
                      <a:ext cx="4562475" cy="3028950"/>
                    </a:xfrm>
                    <a:prstGeom prst="rect">
                      <a:avLst/>
                    </a:prstGeom>
                    <a:ln/>
                  </pic:spPr>
                </pic:pic>
              </a:graphicData>
            </a:graphic>
          </wp:anchor>
        </w:drawing>
      </w:r>
    </w:p>
    <w:p w:rsidR="00315325" w:rsidRDefault="00315325">
      <w:pPr>
        <w:pStyle w:val="Normln1"/>
        <w:tabs>
          <w:tab w:val="left" w:pos="851"/>
        </w:tabs>
        <w:spacing w:after="280" w:line="240" w:lineRule="auto"/>
        <w:jc w:val="both"/>
        <w:rPr>
          <w:rFonts w:ascii="Cambria" w:eastAsia="Cambria" w:hAnsi="Cambria" w:cs="Cambria"/>
          <w:sz w:val="24"/>
          <w:szCs w:val="24"/>
        </w:rPr>
      </w:pPr>
    </w:p>
    <w:p w:rsidR="00315325" w:rsidRDefault="00315325">
      <w:pPr>
        <w:pStyle w:val="Normln1"/>
        <w:tabs>
          <w:tab w:val="left" w:pos="851"/>
        </w:tabs>
        <w:spacing w:after="280" w:line="240" w:lineRule="auto"/>
        <w:jc w:val="both"/>
        <w:rPr>
          <w:rFonts w:ascii="Cambria" w:eastAsia="Cambria" w:hAnsi="Cambria" w:cs="Cambria"/>
          <w:sz w:val="24"/>
          <w:szCs w:val="24"/>
        </w:rPr>
      </w:pPr>
    </w:p>
    <w:p w:rsidR="00E441FF" w:rsidRDefault="00E441FF">
      <w:pPr>
        <w:pStyle w:val="Normln1"/>
        <w:tabs>
          <w:tab w:val="left" w:pos="851"/>
        </w:tabs>
        <w:spacing w:after="280" w:line="240" w:lineRule="auto"/>
        <w:jc w:val="both"/>
        <w:rPr>
          <w:rFonts w:ascii="Cambria" w:eastAsia="Cambria" w:hAnsi="Cambria" w:cs="Cambria"/>
          <w:sz w:val="24"/>
          <w:szCs w:val="24"/>
        </w:rPr>
      </w:pPr>
    </w:p>
    <w:p w:rsidR="00315325" w:rsidRDefault="00120F0B">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t>Hình số 4: Bãi thu đồ thải ở đường Zakrytá thuộc địa phận Ủy Ban Praha 4</w:t>
      </w:r>
    </w:p>
    <w:p w:rsidR="00315325" w:rsidRDefault="00315325">
      <w:pPr>
        <w:pStyle w:val="Normln1"/>
        <w:tabs>
          <w:tab w:val="left" w:pos="851"/>
        </w:tabs>
        <w:spacing w:after="280" w:line="240" w:lineRule="auto"/>
        <w:jc w:val="both"/>
        <w:rPr>
          <w:rFonts w:ascii="Cambria" w:eastAsia="Cambria" w:hAnsi="Cambria" w:cs="Cambria"/>
          <w:sz w:val="24"/>
          <w:szCs w:val="24"/>
        </w:rPr>
      </w:pPr>
    </w:p>
    <w:p w:rsidR="00315325" w:rsidRDefault="00315325">
      <w:pPr>
        <w:pStyle w:val="Normln1"/>
        <w:tabs>
          <w:tab w:val="left" w:pos="851"/>
        </w:tabs>
        <w:spacing w:after="280" w:line="240" w:lineRule="auto"/>
        <w:jc w:val="both"/>
        <w:rPr>
          <w:rFonts w:ascii="Cambria" w:eastAsia="Cambria" w:hAnsi="Cambria" w:cs="Cambria"/>
          <w:sz w:val="24"/>
          <w:szCs w:val="24"/>
        </w:rPr>
      </w:pPr>
    </w:p>
    <w:p w:rsidR="00315325" w:rsidRDefault="00315325">
      <w:pPr>
        <w:pStyle w:val="Normln1"/>
        <w:tabs>
          <w:tab w:val="left" w:pos="851"/>
        </w:tabs>
        <w:spacing w:after="280" w:line="240" w:lineRule="auto"/>
        <w:jc w:val="both"/>
        <w:rPr>
          <w:rFonts w:ascii="Cambria" w:eastAsia="Cambria" w:hAnsi="Cambria" w:cs="Cambria"/>
          <w:sz w:val="24"/>
          <w:szCs w:val="24"/>
        </w:rPr>
      </w:pPr>
    </w:p>
    <w:p w:rsidR="00E441FF" w:rsidRDefault="00E441FF">
      <w:pPr>
        <w:pStyle w:val="Normln1"/>
        <w:tabs>
          <w:tab w:val="left" w:pos="851"/>
        </w:tabs>
        <w:spacing w:after="280" w:line="240" w:lineRule="auto"/>
        <w:jc w:val="both"/>
        <w:rPr>
          <w:rFonts w:ascii="Cambria" w:eastAsia="Cambria" w:hAnsi="Cambria" w:cs="Cambria"/>
          <w:sz w:val="24"/>
          <w:szCs w:val="24"/>
        </w:rPr>
      </w:pPr>
    </w:p>
    <w:p w:rsidR="00E441FF" w:rsidRDefault="00E441FF">
      <w:pPr>
        <w:pStyle w:val="Normln1"/>
        <w:tabs>
          <w:tab w:val="left" w:pos="851"/>
        </w:tabs>
        <w:spacing w:after="280" w:line="240" w:lineRule="auto"/>
        <w:jc w:val="both"/>
        <w:rPr>
          <w:rFonts w:ascii="Cambria" w:eastAsia="Cambria" w:hAnsi="Cambria" w:cs="Cambria"/>
          <w:sz w:val="24"/>
          <w:szCs w:val="24"/>
        </w:rPr>
      </w:pPr>
    </w:p>
    <w:p w:rsidR="00E441FF" w:rsidRDefault="00E441FF">
      <w:pPr>
        <w:pStyle w:val="Normln1"/>
        <w:tabs>
          <w:tab w:val="left" w:pos="851"/>
        </w:tabs>
        <w:spacing w:after="280" w:line="240" w:lineRule="auto"/>
        <w:jc w:val="both"/>
        <w:rPr>
          <w:rFonts w:ascii="Cambria" w:eastAsia="Cambria" w:hAnsi="Cambria" w:cs="Cambria"/>
          <w:sz w:val="24"/>
          <w:szCs w:val="24"/>
        </w:rPr>
      </w:pPr>
    </w:p>
    <w:p w:rsidR="00E441FF" w:rsidRDefault="00E441FF">
      <w:pPr>
        <w:pStyle w:val="Normln1"/>
        <w:tabs>
          <w:tab w:val="left" w:pos="851"/>
        </w:tabs>
        <w:spacing w:after="280" w:line="240" w:lineRule="auto"/>
        <w:jc w:val="both"/>
        <w:rPr>
          <w:rFonts w:ascii="Cambria" w:eastAsia="Cambria" w:hAnsi="Cambria" w:cs="Cambria"/>
          <w:sz w:val="24"/>
          <w:szCs w:val="24"/>
        </w:rPr>
      </w:pPr>
    </w:p>
    <w:p w:rsidR="00E441FF" w:rsidRDefault="00E441FF">
      <w:pPr>
        <w:pStyle w:val="Normln1"/>
        <w:tabs>
          <w:tab w:val="left" w:pos="851"/>
        </w:tabs>
        <w:spacing w:after="280" w:line="240" w:lineRule="auto"/>
        <w:jc w:val="both"/>
        <w:rPr>
          <w:rFonts w:ascii="Cambria" w:eastAsia="Cambria" w:hAnsi="Cambria" w:cs="Cambria"/>
          <w:sz w:val="24"/>
          <w:szCs w:val="24"/>
        </w:rPr>
      </w:pPr>
    </w:p>
    <w:p w:rsidR="00315325" w:rsidRDefault="00E441FF">
      <w:pPr>
        <w:pStyle w:val="Normln1"/>
        <w:tabs>
          <w:tab w:val="left" w:pos="851"/>
        </w:tabs>
        <w:spacing w:after="280" w:line="240" w:lineRule="auto"/>
        <w:jc w:val="both"/>
        <w:rPr>
          <w:rFonts w:ascii="Cambria" w:eastAsia="Cambria" w:hAnsi="Cambria" w:cs="Cambria"/>
          <w:sz w:val="24"/>
          <w:szCs w:val="24"/>
        </w:rPr>
      </w:pPr>
      <w:r>
        <w:rPr>
          <w:rFonts w:ascii="Cambria" w:eastAsia="Cambria" w:hAnsi="Cambria" w:cs="Cambria"/>
          <w:sz w:val="24"/>
          <w:szCs w:val="24"/>
        </w:rPr>
        <w:lastRenderedPageBreak/>
        <w:t>Trong trường hợp cần thiết,có thể đặt cho các đơn vị chuyên chở đưa đồ thải đến tận các bãi thu nhận. Đây là dịch vụ phải trả tiền,nhưng có sự đảm bảo là đồ thải sẽ được xử lý đúng theo qui định. Có thể thuê chở tất cả các loại đồ thải đ</w:t>
      </w:r>
      <w:r w:rsidR="001F6635">
        <w:rPr>
          <w:rFonts w:ascii="Cambria" w:eastAsia="Cambria" w:hAnsi="Cambria" w:cs="Cambria"/>
          <w:sz w:val="24"/>
          <w:szCs w:val="24"/>
        </w:rPr>
        <w:t>ến</w:t>
      </w:r>
      <w:r>
        <w:rPr>
          <w:rFonts w:ascii="Cambria" w:eastAsia="Cambria" w:hAnsi="Cambria" w:cs="Cambria"/>
          <w:sz w:val="24"/>
          <w:szCs w:val="24"/>
        </w:rPr>
        <w:t xml:space="preserve"> bãi thu hồi,trừ các loại</w:t>
      </w:r>
      <w:r w:rsidR="001F6635">
        <w:rPr>
          <w:rFonts w:ascii="Cambria" w:eastAsia="Cambria" w:hAnsi="Cambria" w:cs="Cambria"/>
          <w:sz w:val="24"/>
          <w:szCs w:val="24"/>
        </w:rPr>
        <w:t xml:space="preserve"> lỏng ( cát,</w:t>
      </w:r>
      <w:proofErr w:type="gramStart"/>
      <w:r w:rsidR="001F6635">
        <w:rPr>
          <w:rFonts w:ascii="Cambria" w:eastAsia="Cambria" w:hAnsi="Cambria" w:cs="Cambria"/>
          <w:sz w:val="24"/>
          <w:szCs w:val="24"/>
        </w:rPr>
        <w:t>đất...).</w:t>
      </w:r>
      <w:proofErr w:type="gramEnd"/>
      <w:r w:rsidR="001F6635">
        <w:rPr>
          <w:rFonts w:ascii="Cambria" w:eastAsia="Cambria" w:hAnsi="Cambria" w:cs="Cambria"/>
          <w:sz w:val="24"/>
          <w:szCs w:val="24"/>
        </w:rPr>
        <w:t xml:space="preserve"> Giá được tính khi đưa đồ thải vào xe (theo số lượng đồ thải) và theo số cây số xe đã đi (từ bãi thu gần nhất đến nơi nhận đồ thải và ngược chiều </w:t>
      </w:r>
      <w:proofErr w:type="gramStart"/>
      <w:r w:rsidR="001F6635">
        <w:rPr>
          <w:rFonts w:ascii="Cambria" w:eastAsia="Cambria" w:hAnsi="Cambria" w:cs="Cambria"/>
          <w:sz w:val="24"/>
          <w:szCs w:val="24"/>
        </w:rPr>
        <w:t xml:space="preserve">lại </w:t>
      </w:r>
      <w:r w:rsidR="00232CD1">
        <w:rPr>
          <w:rFonts w:ascii="Cambria" w:eastAsia="Cambria" w:hAnsi="Cambria" w:cs="Cambria"/>
          <w:sz w:val="24"/>
          <w:szCs w:val="24"/>
        </w:rPr>
        <w:t>).</w:t>
      </w:r>
      <w:proofErr w:type="gramEnd"/>
      <w:r w:rsidR="00232CD1">
        <w:rPr>
          <w:rFonts w:ascii="Cambria" w:eastAsia="Cambria" w:hAnsi="Cambria" w:cs="Cambria"/>
          <w:sz w:val="24"/>
          <w:szCs w:val="24"/>
        </w:rPr>
        <w:t xml:space="preserve"> </w:t>
      </w:r>
    </w:p>
    <w:p w:rsidR="00315325" w:rsidRDefault="001F6635">
      <w:pPr>
        <w:pStyle w:val="Normln1"/>
        <w:spacing w:after="0" w:line="240" w:lineRule="auto"/>
        <w:jc w:val="both"/>
        <w:rPr>
          <w:rFonts w:ascii="Cambria" w:eastAsia="Cambria" w:hAnsi="Cambria" w:cs="Cambria"/>
          <w:sz w:val="24"/>
          <w:szCs w:val="24"/>
        </w:rPr>
      </w:pPr>
      <w:r>
        <w:rPr>
          <w:rFonts w:ascii="Cambria" w:eastAsia="Cambria" w:hAnsi="Cambria" w:cs="Cambria"/>
          <w:sz w:val="24"/>
          <w:szCs w:val="24"/>
        </w:rPr>
        <w:t xml:space="preserve">Hằng năm trên nhiều </w:t>
      </w:r>
      <w:r w:rsidR="009E2177">
        <w:rPr>
          <w:rFonts w:ascii="Cambria" w:eastAsia="Cambria" w:hAnsi="Cambria" w:cs="Cambria"/>
          <w:sz w:val="24"/>
          <w:szCs w:val="24"/>
        </w:rPr>
        <w:t>nơi</w:t>
      </w:r>
      <w:r>
        <w:rPr>
          <w:rFonts w:ascii="Cambria" w:eastAsia="Cambria" w:hAnsi="Cambria" w:cs="Cambria"/>
          <w:sz w:val="24"/>
          <w:szCs w:val="24"/>
        </w:rPr>
        <w:t xml:space="preserve"> ở thủ do Praha </w:t>
      </w:r>
      <w:r w:rsidR="009E2177">
        <w:rPr>
          <w:rFonts w:ascii="Cambria" w:eastAsia="Cambria" w:hAnsi="Cambria" w:cs="Cambria"/>
          <w:sz w:val="24"/>
          <w:szCs w:val="24"/>
        </w:rPr>
        <w:t>còn đặt những công  tây nơ có thể tích lớn để phục vụ công dân xử lý đồ thải không cho vào các thùng được (mỗi năm thường đặt trên các phố khoảng 5 500 chiếc với thể tích ít nhất</w:t>
      </w:r>
      <w:r w:rsidR="00232CD1">
        <w:rPr>
          <w:rFonts w:ascii="Cambria" w:eastAsia="Cambria" w:hAnsi="Cambria" w:cs="Cambria"/>
          <w:sz w:val="24"/>
          <w:szCs w:val="24"/>
        </w:rPr>
        <w:t xml:space="preserve"> 10 m</w:t>
      </w:r>
      <w:r w:rsidR="00232CD1">
        <w:rPr>
          <w:rFonts w:ascii="Cambria" w:eastAsia="Cambria" w:hAnsi="Cambria" w:cs="Cambria"/>
          <w:sz w:val="24"/>
          <w:szCs w:val="24"/>
          <w:vertAlign w:val="superscript"/>
        </w:rPr>
        <w:t>3</w:t>
      </w:r>
      <w:r w:rsidR="009E2177">
        <w:rPr>
          <w:rFonts w:ascii="Cambria" w:eastAsia="Cambria" w:hAnsi="Cambria" w:cs="Cambria"/>
          <w:sz w:val="24"/>
          <w:szCs w:val="24"/>
        </w:rPr>
        <w:t>) và từ đầu tháng ba đến tháng cuối tháng mười một còn đặt các công tây nơ để thu đồ thả</w:t>
      </w:r>
      <w:r w:rsidR="007200E7">
        <w:rPr>
          <w:rFonts w:ascii="Cambria" w:eastAsia="Cambria" w:hAnsi="Cambria" w:cs="Cambria"/>
          <w:sz w:val="24"/>
          <w:szCs w:val="24"/>
        </w:rPr>
        <w:t>i tự nhiên</w:t>
      </w:r>
      <w:r w:rsidR="009E2177">
        <w:rPr>
          <w:rFonts w:ascii="Cambria" w:eastAsia="Cambria" w:hAnsi="Cambria" w:cs="Cambria"/>
          <w:sz w:val="24"/>
          <w:szCs w:val="24"/>
        </w:rPr>
        <w:t xml:space="preserve"> (ví dụ trong năm 2016 </w:t>
      </w:r>
      <w:r w:rsidR="00FB5433">
        <w:rPr>
          <w:rFonts w:ascii="Cambria" w:eastAsia="Cambria" w:hAnsi="Cambria" w:cs="Cambria"/>
          <w:sz w:val="24"/>
          <w:szCs w:val="24"/>
        </w:rPr>
        <w:t>đã đặt trên các đường phố ở Praha tổng cọng</w:t>
      </w:r>
      <w:r w:rsidR="00232CD1">
        <w:rPr>
          <w:rFonts w:ascii="Cambria" w:eastAsia="Cambria" w:hAnsi="Cambria" w:cs="Cambria"/>
          <w:sz w:val="24"/>
          <w:szCs w:val="24"/>
        </w:rPr>
        <w:t xml:space="preserve"> 1 4</w:t>
      </w:r>
      <w:r w:rsidR="00FB5433">
        <w:rPr>
          <w:rFonts w:ascii="Cambria" w:eastAsia="Cambria" w:hAnsi="Cambria" w:cs="Cambria"/>
          <w:sz w:val="24"/>
          <w:szCs w:val="24"/>
        </w:rPr>
        <w:t>86 chiếc với thể tích ít nhất</w:t>
      </w:r>
      <w:r w:rsidR="00232CD1">
        <w:rPr>
          <w:rFonts w:ascii="Cambria" w:eastAsia="Cambria" w:hAnsi="Cambria" w:cs="Cambria"/>
          <w:sz w:val="24"/>
          <w:szCs w:val="24"/>
        </w:rPr>
        <w:t xml:space="preserve"> 9 m</w:t>
      </w:r>
      <w:r w:rsidR="00232CD1">
        <w:rPr>
          <w:rFonts w:ascii="Cambria" w:eastAsia="Cambria" w:hAnsi="Cambria" w:cs="Cambria"/>
          <w:sz w:val="24"/>
          <w:szCs w:val="24"/>
          <w:vertAlign w:val="superscript"/>
        </w:rPr>
        <w:t>3</w:t>
      </w:r>
      <w:r w:rsidR="00232CD1">
        <w:rPr>
          <w:rFonts w:ascii="Cambria" w:eastAsia="Cambria" w:hAnsi="Cambria" w:cs="Cambria"/>
          <w:sz w:val="24"/>
          <w:szCs w:val="24"/>
        </w:rPr>
        <w:t xml:space="preserve">) </w:t>
      </w:r>
    </w:p>
    <w:p w:rsidR="00315325" w:rsidRDefault="00FB5433">
      <w:pPr>
        <w:pStyle w:val="Normln1"/>
        <w:spacing w:after="0" w:line="240" w:lineRule="auto"/>
        <w:jc w:val="both"/>
        <w:rPr>
          <w:rFonts w:ascii="Cambria" w:eastAsia="Cambria" w:hAnsi="Cambria" w:cs="Cambria"/>
          <w:sz w:val="24"/>
          <w:szCs w:val="24"/>
        </w:rPr>
      </w:pPr>
      <w:r>
        <w:rPr>
          <w:rFonts w:ascii="Cambria" w:eastAsia="Cambria" w:hAnsi="Cambria" w:cs="Cambria"/>
          <w:sz w:val="24"/>
          <w:szCs w:val="24"/>
        </w:rPr>
        <w:t>Kế hoạch đặt các công tây nơ này cũng có thể tìm thấy trên trang</w:t>
      </w:r>
      <w:r w:rsidR="00232CD1">
        <w:rPr>
          <w:rFonts w:ascii="Cambria" w:eastAsia="Cambria" w:hAnsi="Cambria" w:cs="Cambria"/>
          <w:sz w:val="24"/>
          <w:szCs w:val="24"/>
        </w:rPr>
        <w:t xml:space="preserve"> </w:t>
      </w:r>
      <w:hyperlink r:id="rId10">
        <w:r w:rsidR="00232CD1">
          <w:rPr>
            <w:rFonts w:ascii="Cambria" w:eastAsia="Cambria" w:hAnsi="Cambria" w:cs="Cambria"/>
            <w:color w:val="0000FF"/>
            <w:sz w:val="24"/>
            <w:szCs w:val="24"/>
            <w:u w:val="single"/>
          </w:rPr>
          <w:t>www.portalzp.praha.eu</w:t>
        </w:r>
      </w:hyperlink>
      <w:r w:rsidR="00232CD1">
        <w:rPr>
          <w:rFonts w:ascii="Cambria" w:eastAsia="Cambria" w:hAnsi="Cambria" w:cs="Cambria"/>
          <w:sz w:val="24"/>
          <w:szCs w:val="24"/>
        </w:rPr>
        <w:t xml:space="preserve"> </w:t>
      </w:r>
      <w:r>
        <w:rPr>
          <w:rFonts w:ascii="Cambria" w:eastAsia="Cambria" w:hAnsi="Cambria" w:cs="Cambria"/>
          <w:sz w:val="24"/>
          <w:szCs w:val="24"/>
        </w:rPr>
        <w:t xml:space="preserve">hay trên các thông báo của Ủy Ban các quận </w:t>
      </w:r>
      <w:r w:rsidR="00232CD1">
        <w:rPr>
          <w:rFonts w:ascii="Cambria" w:eastAsia="Cambria" w:hAnsi="Cambria" w:cs="Cambria"/>
          <w:sz w:val="24"/>
          <w:szCs w:val="24"/>
        </w:rPr>
        <w:t xml:space="preserve"> Praha 1 </w:t>
      </w:r>
      <w:r>
        <w:rPr>
          <w:rFonts w:ascii="Cambria" w:eastAsia="Cambria" w:hAnsi="Cambria" w:cs="Cambria"/>
          <w:sz w:val="24"/>
          <w:szCs w:val="24"/>
        </w:rPr>
        <w:t>đến</w:t>
      </w:r>
      <w:r w:rsidR="00232CD1">
        <w:rPr>
          <w:rFonts w:ascii="Cambria" w:eastAsia="Cambria" w:hAnsi="Cambria" w:cs="Cambria"/>
          <w:sz w:val="24"/>
          <w:szCs w:val="24"/>
        </w:rPr>
        <w:t xml:space="preserve"> 57.</w:t>
      </w:r>
    </w:p>
    <w:p w:rsidR="00315325" w:rsidRDefault="00315325">
      <w:pPr>
        <w:pStyle w:val="Normln1"/>
        <w:spacing w:after="0" w:line="240" w:lineRule="auto"/>
        <w:jc w:val="both"/>
        <w:rPr>
          <w:rFonts w:ascii="Cambria" w:eastAsia="Cambria" w:hAnsi="Cambria" w:cs="Cambria"/>
          <w:sz w:val="24"/>
          <w:szCs w:val="24"/>
        </w:rPr>
      </w:pPr>
    </w:p>
    <w:p w:rsidR="00315325" w:rsidRDefault="00FB5433">
      <w:pPr>
        <w:pStyle w:val="Normln1"/>
        <w:spacing w:after="0" w:line="240" w:lineRule="auto"/>
        <w:jc w:val="both"/>
        <w:rPr>
          <w:rFonts w:ascii="Cambria" w:eastAsia="Cambria" w:hAnsi="Cambria" w:cs="Cambria"/>
          <w:b/>
          <w:sz w:val="24"/>
          <w:szCs w:val="24"/>
        </w:rPr>
      </w:pPr>
      <w:r>
        <w:rPr>
          <w:rFonts w:ascii="Cambria" w:eastAsia="Cambria" w:hAnsi="Cambria" w:cs="Cambria"/>
          <w:b/>
          <w:sz w:val="24"/>
          <w:szCs w:val="24"/>
        </w:rPr>
        <w:t xml:space="preserve">Thời điểm và địa điểm đặt các công tây nơ có thể tìm trên trang môi trường www đã nêu hay treenm các thông báo của Ủy Ban các quận từ  Praha 1  đến </w:t>
      </w:r>
      <w:r w:rsidR="00232CD1">
        <w:rPr>
          <w:rFonts w:ascii="Cambria" w:eastAsia="Cambria" w:hAnsi="Cambria" w:cs="Cambria"/>
          <w:b/>
          <w:sz w:val="24"/>
          <w:szCs w:val="24"/>
        </w:rPr>
        <w:t xml:space="preserve"> 57.</w:t>
      </w:r>
    </w:p>
    <w:p w:rsidR="00315325" w:rsidRDefault="00315325">
      <w:pPr>
        <w:pStyle w:val="Normln1"/>
        <w:spacing w:after="0" w:line="240" w:lineRule="auto"/>
        <w:jc w:val="both"/>
        <w:rPr>
          <w:rFonts w:ascii="Cambria" w:eastAsia="Cambria" w:hAnsi="Cambria" w:cs="Cambria"/>
          <w:sz w:val="24"/>
          <w:szCs w:val="24"/>
        </w:rPr>
      </w:pPr>
    </w:p>
    <w:p w:rsidR="00315325" w:rsidRDefault="007200E7">
      <w:pPr>
        <w:pStyle w:val="Normln1"/>
        <w:spacing w:after="0" w:line="240" w:lineRule="auto"/>
        <w:jc w:val="both"/>
        <w:rPr>
          <w:rFonts w:ascii="Cambria" w:eastAsia="Cambria" w:hAnsi="Cambria" w:cs="Cambria"/>
          <w:sz w:val="24"/>
          <w:szCs w:val="24"/>
        </w:rPr>
      </w:pPr>
      <w:r>
        <w:rPr>
          <w:rFonts w:ascii="Cambria" w:eastAsia="Cambria" w:hAnsi="Cambria" w:cs="Cambria"/>
          <w:sz w:val="24"/>
          <w:szCs w:val="24"/>
        </w:rPr>
        <w:t>Hình số 5:  Công tây nơ thu đồ thải tự nhiên ở Praha</w:t>
      </w:r>
      <w:r w:rsidR="00232CD1">
        <w:rPr>
          <w:rFonts w:ascii="Cambria" w:eastAsia="Cambria" w:hAnsi="Cambria" w:cs="Cambria"/>
          <w:sz w:val="24"/>
          <w:szCs w:val="24"/>
        </w:rPr>
        <w:t xml:space="preserve"> </w:t>
      </w:r>
      <w:r w:rsidR="00FB5433">
        <w:rPr>
          <w:rFonts w:ascii="Cambria" w:eastAsia="Cambria" w:hAnsi="Cambria" w:cs="Cambria"/>
          <w:sz w:val="24"/>
          <w:szCs w:val="24"/>
        </w:rPr>
        <w:t>–</w:t>
      </w:r>
      <w:r>
        <w:rPr>
          <w:rFonts w:ascii="Cambria" w:eastAsia="Cambria" w:hAnsi="Cambria" w:cs="Cambria"/>
          <w:sz w:val="24"/>
          <w:szCs w:val="24"/>
        </w:rPr>
        <w:t xml:space="preserve"> Dubče</w:t>
      </w:r>
    </w:p>
    <w:p w:rsidR="00FB5433" w:rsidRDefault="00FB5433">
      <w:pPr>
        <w:pStyle w:val="Normln1"/>
        <w:spacing w:after="0" w:line="240" w:lineRule="auto"/>
        <w:jc w:val="both"/>
        <w:rPr>
          <w:rFonts w:ascii="Cambria" w:eastAsia="Cambria" w:hAnsi="Cambria" w:cs="Cambria"/>
          <w:sz w:val="24"/>
          <w:szCs w:val="24"/>
        </w:rPr>
      </w:pPr>
    </w:p>
    <w:p w:rsidR="00315325" w:rsidRDefault="00232CD1">
      <w:pPr>
        <w:pStyle w:val="Normln1"/>
        <w:spacing w:after="0" w:line="240" w:lineRule="auto"/>
        <w:jc w:val="both"/>
        <w:rPr>
          <w:rFonts w:ascii="Cambria" w:eastAsia="Cambria" w:hAnsi="Cambria" w:cs="Cambria"/>
          <w:sz w:val="24"/>
          <w:szCs w:val="24"/>
        </w:rPr>
      </w:pPr>
      <w:r>
        <w:rPr>
          <w:noProof/>
        </w:rPr>
        <w:drawing>
          <wp:inline distT="0" distB="0" distL="0" distR="0">
            <wp:extent cx="5760720" cy="4320540"/>
            <wp:effectExtent l="0" t="0" r="0" b="0"/>
            <wp:docPr id="5" name="image10.jpg" descr="C:\Users\m000xz004731\AppData\Local\Microsoft\Windows\Temporary Internet Files\Content.Word\Dubeč , ul. K Vilkám (3).jpg"/>
            <wp:cNvGraphicFramePr/>
            <a:graphic xmlns:a="http://schemas.openxmlformats.org/drawingml/2006/main">
              <a:graphicData uri="http://schemas.openxmlformats.org/drawingml/2006/picture">
                <pic:pic xmlns:pic="http://schemas.openxmlformats.org/drawingml/2006/picture">
                  <pic:nvPicPr>
                    <pic:cNvPr id="0" name="image10.jpg" descr="C:\Users\m000xz004731\AppData\Local\Microsoft\Windows\Temporary Internet Files\Content.Word\Dubeč , ul. K Vilkám (3).jpg"/>
                    <pic:cNvPicPr preferRelativeResize="0"/>
                  </pic:nvPicPr>
                  <pic:blipFill>
                    <a:blip r:embed="rId11" cstate="print"/>
                    <a:srcRect/>
                    <a:stretch>
                      <a:fillRect/>
                    </a:stretch>
                  </pic:blipFill>
                  <pic:spPr>
                    <a:xfrm>
                      <a:off x="0" y="0"/>
                      <a:ext cx="5760720" cy="4320540"/>
                    </a:xfrm>
                    <a:prstGeom prst="rect">
                      <a:avLst/>
                    </a:prstGeom>
                    <a:ln/>
                  </pic:spPr>
                </pic:pic>
              </a:graphicData>
            </a:graphic>
          </wp:inline>
        </w:drawing>
      </w:r>
      <w:bookmarkStart w:id="1" w:name="_GoBack"/>
      <w:bookmarkEnd w:id="1"/>
    </w:p>
    <w:sectPr w:rsidR="00315325" w:rsidSect="00315325">
      <w:pgSz w:w="11906" w:h="16838"/>
      <w:pgMar w:top="1417" w:right="1417" w:bottom="993"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11C9"/>
    <w:multiLevelType w:val="multilevel"/>
    <w:tmpl w:val="39004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25"/>
    <w:rsid w:val="00036900"/>
    <w:rsid w:val="000650D2"/>
    <w:rsid w:val="00080199"/>
    <w:rsid w:val="00120F0B"/>
    <w:rsid w:val="001878CF"/>
    <w:rsid w:val="001B1B0A"/>
    <w:rsid w:val="001B7BF1"/>
    <w:rsid w:val="001F6635"/>
    <w:rsid w:val="002155F3"/>
    <w:rsid w:val="00232CD1"/>
    <w:rsid w:val="00244CE6"/>
    <w:rsid w:val="00255E2A"/>
    <w:rsid w:val="00267AC2"/>
    <w:rsid w:val="00291E1F"/>
    <w:rsid w:val="00315325"/>
    <w:rsid w:val="00374A61"/>
    <w:rsid w:val="00383B78"/>
    <w:rsid w:val="003B7CA9"/>
    <w:rsid w:val="003D0333"/>
    <w:rsid w:val="003F26D0"/>
    <w:rsid w:val="00585BB3"/>
    <w:rsid w:val="00592D29"/>
    <w:rsid w:val="00611354"/>
    <w:rsid w:val="00681380"/>
    <w:rsid w:val="006B7E74"/>
    <w:rsid w:val="007200E7"/>
    <w:rsid w:val="0076034D"/>
    <w:rsid w:val="007818D2"/>
    <w:rsid w:val="00795EBC"/>
    <w:rsid w:val="007B7C10"/>
    <w:rsid w:val="00882627"/>
    <w:rsid w:val="008C52EC"/>
    <w:rsid w:val="00930955"/>
    <w:rsid w:val="009503C9"/>
    <w:rsid w:val="009E2177"/>
    <w:rsid w:val="00A26536"/>
    <w:rsid w:val="00A86EB4"/>
    <w:rsid w:val="00B576BA"/>
    <w:rsid w:val="00B62165"/>
    <w:rsid w:val="00BA4E17"/>
    <w:rsid w:val="00BD0978"/>
    <w:rsid w:val="00BD67F3"/>
    <w:rsid w:val="00C118CF"/>
    <w:rsid w:val="00C33DF1"/>
    <w:rsid w:val="00C754D0"/>
    <w:rsid w:val="00CC0B06"/>
    <w:rsid w:val="00CE68FD"/>
    <w:rsid w:val="00DA1518"/>
    <w:rsid w:val="00DE5A9F"/>
    <w:rsid w:val="00E441FF"/>
    <w:rsid w:val="00F4441E"/>
    <w:rsid w:val="00FB5433"/>
    <w:rsid w:val="00FC7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5F3"/>
  </w:style>
  <w:style w:type="paragraph" w:styleId="Nadpis1">
    <w:name w:val="heading 1"/>
    <w:basedOn w:val="Normln1"/>
    <w:next w:val="Normln1"/>
    <w:rsid w:val="00315325"/>
    <w:pPr>
      <w:keepNext/>
      <w:keepLines/>
      <w:spacing w:before="480" w:after="120"/>
      <w:outlineLvl w:val="0"/>
    </w:pPr>
    <w:rPr>
      <w:b/>
      <w:sz w:val="48"/>
      <w:szCs w:val="48"/>
    </w:rPr>
  </w:style>
  <w:style w:type="paragraph" w:styleId="Nadpis2">
    <w:name w:val="heading 2"/>
    <w:basedOn w:val="Normln1"/>
    <w:next w:val="Normln1"/>
    <w:rsid w:val="00315325"/>
    <w:pPr>
      <w:keepNext/>
      <w:keepLines/>
      <w:spacing w:before="360" w:after="80"/>
      <w:outlineLvl w:val="1"/>
    </w:pPr>
    <w:rPr>
      <w:b/>
      <w:sz w:val="36"/>
      <w:szCs w:val="36"/>
    </w:rPr>
  </w:style>
  <w:style w:type="paragraph" w:styleId="Nadpis3">
    <w:name w:val="heading 3"/>
    <w:basedOn w:val="Normln1"/>
    <w:next w:val="Normln1"/>
    <w:rsid w:val="00315325"/>
    <w:pPr>
      <w:keepNext/>
      <w:keepLines/>
      <w:spacing w:before="280" w:after="80"/>
      <w:outlineLvl w:val="2"/>
    </w:pPr>
    <w:rPr>
      <w:b/>
      <w:sz w:val="28"/>
      <w:szCs w:val="28"/>
    </w:rPr>
  </w:style>
  <w:style w:type="paragraph" w:styleId="Nadpis4">
    <w:name w:val="heading 4"/>
    <w:basedOn w:val="Normln1"/>
    <w:next w:val="Normln1"/>
    <w:rsid w:val="00315325"/>
    <w:pPr>
      <w:keepNext/>
      <w:keepLines/>
      <w:spacing w:before="240" w:after="40"/>
      <w:outlineLvl w:val="3"/>
    </w:pPr>
    <w:rPr>
      <w:b/>
      <w:sz w:val="24"/>
      <w:szCs w:val="24"/>
    </w:rPr>
  </w:style>
  <w:style w:type="paragraph" w:styleId="Nadpis5">
    <w:name w:val="heading 5"/>
    <w:basedOn w:val="Normln1"/>
    <w:next w:val="Normln1"/>
    <w:rsid w:val="00315325"/>
    <w:pPr>
      <w:keepNext/>
      <w:keepLines/>
      <w:spacing w:before="220" w:after="40"/>
      <w:outlineLvl w:val="4"/>
    </w:pPr>
    <w:rPr>
      <w:b/>
    </w:rPr>
  </w:style>
  <w:style w:type="paragraph" w:styleId="Nadpis6">
    <w:name w:val="heading 6"/>
    <w:basedOn w:val="Normln1"/>
    <w:next w:val="Normln1"/>
    <w:rsid w:val="00315325"/>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15325"/>
  </w:style>
  <w:style w:type="table" w:customStyle="1" w:styleId="TableNormal">
    <w:name w:val="Table Normal"/>
    <w:rsid w:val="00315325"/>
    <w:tblPr>
      <w:tblCellMar>
        <w:top w:w="0" w:type="dxa"/>
        <w:left w:w="0" w:type="dxa"/>
        <w:bottom w:w="0" w:type="dxa"/>
        <w:right w:w="0" w:type="dxa"/>
      </w:tblCellMar>
    </w:tblPr>
  </w:style>
  <w:style w:type="paragraph" w:styleId="Nzev">
    <w:name w:val="Title"/>
    <w:basedOn w:val="Normln1"/>
    <w:next w:val="Normln1"/>
    <w:rsid w:val="00315325"/>
    <w:pPr>
      <w:keepNext/>
      <w:keepLines/>
      <w:spacing w:before="480" w:after="120"/>
    </w:pPr>
    <w:rPr>
      <w:b/>
      <w:sz w:val="72"/>
      <w:szCs w:val="72"/>
    </w:rPr>
  </w:style>
  <w:style w:type="paragraph" w:styleId="Podtitul">
    <w:name w:val="Subtitle"/>
    <w:basedOn w:val="Normln1"/>
    <w:next w:val="Normln1"/>
    <w:rsid w:val="00315325"/>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232C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5F3"/>
  </w:style>
  <w:style w:type="paragraph" w:styleId="Nadpis1">
    <w:name w:val="heading 1"/>
    <w:basedOn w:val="Normln1"/>
    <w:next w:val="Normln1"/>
    <w:rsid w:val="00315325"/>
    <w:pPr>
      <w:keepNext/>
      <w:keepLines/>
      <w:spacing w:before="480" w:after="120"/>
      <w:outlineLvl w:val="0"/>
    </w:pPr>
    <w:rPr>
      <w:b/>
      <w:sz w:val="48"/>
      <w:szCs w:val="48"/>
    </w:rPr>
  </w:style>
  <w:style w:type="paragraph" w:styleId="Nadpis2">
    <w:name w:val="heading 2"/>
    <w:basedOn w:val="Normln1"/>
    <w:next w:val="Normln1"/>
    <w:rsid w:val="00315325"/>
    <w:pPr>
      <w:keepNext/>
      <w:keepLines/>
      <w:spacing w:before="360" w:after="80"/>
      <w:outlineLvl w:val="1"/>
    </w:pPr>
    <w:rPr>
      <w:b/>
      <w:sz w:val="36"/>
      <w:szCs w:val="36"/>
    </w:rPr>
  </w:style>
  <w:style w:type="paragraph" w:styleId="Nadpis3">
    <w:name w:val="heading 3"/>
    <w:basedOn w:val="Normln1"/>
    <w:next w:val="Normln1"/>
    <w:rsid w:val="00315325"/>
    <w:pPr>
      <w:keepNext/>
      <w:keepLines/>
      <w:spacing w:before="280" w:after="80"/>
      <w:outlineLvl w:val="2"/>
    </w:pPr>
    <w:rPr>
      <w:b/>
      <w:sz w:val="28"/>
      <w:szCs w:val="28"/>
    </w:rPr>
  </w:style>
  <w:style w:type="paragraph" w:styleId="Nadpis4">
    <w:name w:val="heading 4"/>
    <w:basedOn w:val="Normln1"/>
    <w:next w:val="Normln1"/>
    <w:rsid w:val="00315325"/>
    <w:pPr>
      <w:keepNext/>
      <w:keepLines/>
      <w:spacing w:before="240" w:after="40"/>
      <w:outlineLvl w:val="3"/>
    </w:pPr>
    <w:rPr>
      <w:b/>
      <w:sz w:val="24"/>
      <w:szCs w:val="24"/>
    </w:rPr>
  </w:style>
  <w:style w:type="paragraph" w:styleId="Nadpis5">
    <w:name w:val="heading 5"/>
    <w:basedOn w:val="Normln1"/>
    <w:next w:val="Normln1"/>
    <w:rsid w:val="00315325"/>
    <w:pPr>
      <w:keepNext/>
      <w:keepLines/>
      <w:spacing w:before="220" w:after="40"/>
      <w:outlineLvl w:val="4"/>
    </w:pPr>
    <w:rPr>
      <w:b/>
    </w:rPr>
  </w:style>
  <w:style w:type="paragraph" w:styleId="Nadpis6">
    <w:name w:val="heading 6"/>
    <w:basedOn w:val="Normln1"/>
    <w:next w:val="Normln1"/>
    <w:rsid w:val="00315325"/>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15325"/>
  </w:style>
  <w:style w:type="table" w:customStyle="1" w:styleId="TableNormal">
    <w:name w:val="Table Normal"/>
    <w:rsid w:val="00315325"/>
    <w:tblPr>
      <w:tblCellMar>
        <w:top w:w="0" w:type="dxa"/>
        <w:left w:w="0" w:type="dxa"/>
        <w:bottom w:w="0" w:type="dxa"/>
        <w:right w:w="0" w:type="dxa"/>
      </w:tblCellMar>
    </w:tblPr>
  </w:style>
  <w:style w:type="paragraph" w:styleId="Nzev">
    <w:name w:val="Title"/>
    <w:basedOn w:val="Normln1"/>
    <w:next w:val="Normln1"/>
    <w:rsid w:val="00315325"/>
    <w:pPr>
      <w:keepNext/>
      <w:keepLines/>
      <w:spacing w:before="480" w:after="120"/>
    </w:pPr>
    <w:rPr>
      <w:b/>
      <w:sz w:val="72"/>
      <w:szCs w:val="72"/>
    </w:rPr>
  </w:style>
  <w:style w:type="paragraph" w:styleId="Podtitul">
    <w:name w:val="Subtitle"/>
    <w:basedOn w:val="Normln1"/>
    <w:next w:val="Normln1"/>
    <w:rsid w:val="00315325"/>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232C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ww.portalzp.praha.eu"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8078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Polák Radim (MHMP, OCP)</cp:lastModifiedBy>
  <cp:revision>2</cp:revision>
  <dcterms:created xsi:type="dcterms:W3CDTF">2017-09-18T09:13:00Z</dcterms:created>
  <dcterms:modified xsi:type="dcterms:W3CDTF">2017-09-18T09:13:00Z</dcterms:modified>
</cp:coreProperties>
</file>